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ascii="Times New Roman" w:hAnsi="Times New Roman" w:eastAsia="仿宋_GB2312" w:cs="Times New Roman"/>
          <w:color w:val="000000"/>
          <w:kern w:val="0"/>
          <w:sz w:val="32"/>
          <w:szCs w:val="32"/>
          <w:lang w:bidi="ar"/>
        </w:rPr>
      </w:pPr>
    </w:p>
    <w:p>
      <w:pPr>
        <w:pStyle w:val="3"/>
        <w:keepNext w:val="0"/>
        <w:keepLines w:val="0"/>
        <w:pageBreakBefore w:val="0"/>
        <w:widowControl w:val="0"/>
        <w:kinsoku/>
        <w:wordWrap/>
        <w:overflowPunct/>
        <w:topLinePunct w:val="0"/>
        <w:bidi w:val="0"/>
        <w:adjustRightInd/>
        <w:snapToGrid/>
        <w:spacing w:beforeLines="0" w:afterLines="0" w:line="540" w:lineRule="exact"/>
        <w:ind w:left="0"/>
        <w:jc w:val="right"/>
        <w:textAlignment w:val="auto"/>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before="157" w:beforeLines="50" w:after="0" w:line="560" w:lineRule="exact"/>
        <w:ind w:firstLine="3200" w:firstLineChars="1000"/>
        <w:jc w:val="right"/>
        <w:textAlignment w:val="auto"/>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sz w:val="32"/>
          <w:szCs w:val="32"/>
        </w:rPr>
        <w:t>国卫继教院发〔20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号</w:t>
      </w:r>
    </w:p>
    <w:p>
      <w:pPr>
        <w:pStyle w:val="2"/>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方正小标宋_GBK" w:hAnsi="方正小标宋_GBK" w:eastAsia="方正小标宋_GBK" w:cs="方正小标宋_GBK"/>
          <w:color w:val="000000"/>
          <w:kern w:val="0"/>
          <w:sz w:val="44"/>
          <w:szCs w:val="44"/>
          <w:lang w:val="en-US" w:eastAsia="zh-CN" w:bidi="ar"/>
        </w:rPr>
      </w:pPr>
      <w:r>
        <w:rPr>
          <w:rFonts w:hint="eastAsia" w:ascii="方正小标宋_GBK" w:hAnsi="方正小标宋_GBK" w:eastAsia="方正小标宋_GBK" w:cs="方正小标宋_GBK"/>
          <w:color w:val="000000"/>
          <w:kern w:val="0"/>
          <w:sz w:val="44"/>
          <w:szCs w:val="44"/>
          <w:lang w:eastAsia="zh-CN" w:bidi="ar"/>
        </w:rPr>
        <w:t>关于</w:t>
      </w:r>
      <w:r>
        <w:rPr>
          <w:rFonts w:hint="eastAsia" w:ascii="方正小标宋_GBK" w:hAnsi="方正小标宋_GBK" w:eastAsia="方正小标宋_GBK" w:cs="方正小标宋_GBK"/>
          <w:color w:val="000000"/>
          <w:kern w:val="0"/>
          <w:sz w:val="44"/>
          <w:szCs w:val="44"/>
          <w:lang w:val="en-US" w:eastAsia="zh-CN" w:bidi="ar"/>
        </w:rPr>
        <w:t>2022年度中国现代医院管理典型案例评选结果的通知</w:t>
      </w:r>
    </w:p>
    <w:p>
      <w:pPr>
        <w:pStyle w:val="3"/>
        <w:rPr>
          <w:rFonts w:hint="eastAsia" w:ascii="仿宋_GB2312" w:hAnsi="仿宋_GB2312" w:eastAsia="仿宋_GB2312" w:cs="仿宋_GB2312"/>
          <w:color w:val="000000"/>
          <w:kern w:val="0"/>
          <w:sz w:val="32"/>
          <w:szCs w:val="32"/>
          <w:lang w:val="en-US" w:eastAsia="zh-CN" w:bidi="ar"/>
        </w:rPr>
      </w:pP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bidi="ar"/>
        </w:rPr>
        <w:t>各有关单位：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color w:val="000000"/>
          <w:kern w:val="0"/>
          <w:sz w:val="32"/>
          <w:szCs w:val="32"/>
          <w:lang w:bidi="ar"/>
        </w:rPr>
        <w:t>为贯彻落实国务院办公厅印发的</w:t>
      </w:r>
      <w:r>
        <w:fldChar w:fldCharType="begin"/>
      </w:r>
      <w:r>
        <w:instrText xml:space="preserve"> HYPERLINK "http://www.gov.cn/zhengce/content/2021-06/04/content_5615473.htm" </w:instrText>
      </w:r>
      <w:r>
        <w:fldChar w:fldCharType="separate"/>
      </w:r>
      <w:r>
        <w:rPr>
          <w:rFonts w:ascii="Times New Roman" w:hAnsi="Times New Roman" w:eastAsia="仿宋_GB2312" w:cs="Times New Roman"/>
          <w:color w:val="000000"/>
          <w:kern w:val="0"/>
          <w:sz w:val="32"/>
          <w:szCs w:val="32"/>
          <w:lang w:bidi="ar"/>
        </w:rPr>
        <w:t>《关于推动公立医院高质量发展的意见》</w:t>
      </w:r>
      <w:r>
        <w:rPr>
          <w:rFonts w:ascii="Times New Roman" w:hAnsi="Times New Roman" w:eastAsia="仿宋_GB2312" w:cs="Times New Roman"/>
          <w:color w:val="000000"/>
          <w:kern w:val="0"/>
          <w:sz w:val="32"/>
          <w:szCs w:val="32"/>
          <w:lang w:bidi="ar"/>
        </w:rPr>
        <w:fldChar w:fldCharType="end"/>
      </w:r>
      <w:r>
        <w:rPr>
          <w:rFonts w:hint="eastAsia" w:ascii="Times New Roman" w:hAnsi="Times New Roman" w:eastAsia="仿宋_GB2312" w:cs="Times New Roman"/>
          <w:color w:val="000000"/>
          <w:kern w:val="0"/>
          <w:sz w:val="32"/>
          <w:szCs w:val="32"/>
          <w:lang w:eastAsia="zh-CN" w:bidi="ar"/>
        </w:rPr>
        <w:t>及《“十四五”国民健康规划》</w:t>
      </w:r>
      <w:r>
        <w:rPr>
          <w:rFonts w:ascii="Times New Roman" w:hAnsi="Times New Roman" w:eastAsia="仿宋_GB2312" w:cs="Times New Roman"/>
          <w:color w:val="000000"/>
          <w:kern w:val="0"/>
          <w:sz w:val="32"/>
          <w:szCs w:val="32"/>
          <w:lang w:bidi="ar"/>
        </w:rPr>
        <w:t>等系列文件精神，</w:t>
      </w:r>
      <w:r>
        <w:rPr>
          <w:rFonts w:hint="eastAsia" w:ascii="Times New Roman" w:hAnsi="Times New Roman" w:eastAsia="仿宋_GB2312" w:cs="Times New Roman"/>
          <w:color w:val="000000"/>
          <w:kern w:val="0"/>
          <w:sz w:val="32"/>
          <w:szCs w:val="32"/>
          <w:lang w:eastAsia="zh-CN" w:bidi="ar"/>
        </w:rPr>
        <w:t>结合深化医药卫生体制改革</w:t>
      </w:r>
      <w:r>
        <w:rPr>
          <w:rFonts w:hint="eastAsia" w:ascii="Times New Roman" w:hAnsi="Times New Roman" w:eastAsia="仿宋_GB2312" w:cs="Times New Roman"/>
          <w:color w:val="000000"/>
          <w:kern w:val="0"/>
          <w:sz w:val="32"/>
          <w:szCs w:val="32"/>
          <w:lang w:val="en-US" w:eastAsia="zh-CN" w:bidi="ar"/>
        </w:rPr>
        <w:t>2022年重点工作任务，</w:t>
      </w:r>
      <w:r>
        <w:rPr>
          <w:rFonts w:ascii="Times New Roman" w:hAnsi="Times New Roman" w:eastAsia="仿宋_GB2312" w:cs="Times New Roman"/>
          <w:sz w:val="32"/>
          <w:szCs w:val="32"/>
        </w:rPr>
        <w:t>进一步</w:t>
      </w:r>
      <w:r>
        <w:rPr>
          <w:rFonts w:hint="eastAsia" w:ascii="Times New Roman" w:hAnsi="Times New Roman" w:eastAsia="仿宋_GB2312" w:cs="Times New Roman"/>
          <w:sz w:val="32"/>
          <w:szCs w:val="32"/>
          <w:lang w:eastAsia="zh-CN"/>
        </w:rPr>
        <w:t>巩固</w:t>
      </w:r>
      <w:r>
        <w:rPr>
          <w:rFonts w:ascii="Times New Roman" w:hAnsi="Times New Roman" w:eastAsia="仿宋_GB2312" w:cs="Times New Roman"/>
          <w:sz w:val="32"/>
          <w:szCs w:val="32"/>
        </w:rPr>
        <w:t>深化医改</w:t>
      </w:r>
      <w:r>
        <w:rPr>
          <w:rFonts w:hint="eastAsia" w:ascii="Times New Roman" w:hAnsi="Times New Roman" w:eastAsia="仿宋_GB2312" w:cs="Times New Roman"/>
          <w:sz w:val="32"/>
          <w:szCs w:val="32"/>
          <w:lang w:eastAsia="zh-CN"/>
        </w:rPr>
        <w:t>成果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发掘在</w:t>
      </w:r>
      <w:r>
        <w:rPr>
          <w:rFonts w:ascii="Times New Roman" w:hAnsi="Times New Roman" w:eastAsia="仿宋_GB2312" w:cs="Times New Roman"/>
          <w:sz w:val="32"/>
          <w:szCs w:val="32"/>
        </w:rPr>
        <w:t>建立健全现代医院管理制度</w:t>
      </w:r>
      <w:r>
        <w:rPr>
          <w:rFonts w:hint="eastAsia" w:ascii="Times New Roman" w:hAnsi="Times New Roman" w:eastAsia="仿宋_GB2312" w:cs="Times New Roman"/>
          <w:sz w:val="32"/>
          <w:szCs w:val="32"/>
          <w:lang w:eastAsia="zh-CN"/>
        </w:rPr>
        <w:t>方面</w:t>
      </w:r>
      <w:r>
        <w:rPr>
          <w:rFonts w:hint="default" w:ascii="Times New Roman" w:hAnsi="Times New Roman" w:eastAsia="仿宋_GB2312" w:cs="Times New Roman"/>
          <w:sz w:val="32"/>
          <w:szCs w:val="32"/>
        </w:rPr>
        <w:t>的典型经验，</w:t>
      </w:r>
      <w:r>
        <w:rPr>
          <w:rFonts w:hint="eastAsia" w:ascii="Times New Roman" w:hAnsi="Times New Roman" w:eastAsia="仿宋_GB2312" w:cs="Times New Roman"/>
          <w:sz w:val="32"/>
          <w:szCs w:val="32"/>
        </w:rPr>
        <w:t>在委相关司局指导支持下，</w:t>
      </w:r>
      <w:r>
        <w:rPr>
          <w:rFonts w:hint="eastAsia" w:ascii="Times New Roman" w:hAnsi="Times New Roman" w:eastAsia="仿宋_GB2312" w:cs="Times New Roman"/>
          <w:sz w:val="32"/>
          <w:szCs w:val="32"/>
          <w:lang w:eastAsia="zh-CN"/>
        </w:rPr>
        <w:t>依托现代医院管理能力建设专家委员会，围绕建立现代医院管理制度重点维度和推进公立医院高质量发展重点任务，</w:t>
      </w:r>
      <w:r>
        <w:rPr>
          <w:rFonts w:hint="default" w:ascii="Times New Roman" w:hAnsi="Times New Roman" w:eastAsia="仿宋_GB2312" w:cs="Times New Roman"/>
          <w:sz w:val="32"/>
          <w:szCs w:val="32"/>
        </w:rPr>
        <w:t>我中心</w:t>
      </w:r>
      <w:r>
        <w:rPr>
          <w:rFonts w:hint="eastAsia" w:ascii="Times New Roman" w:hAnsi="Times New Roman" w:eastAsia="仿宋_GB2312" w:cs="Times New Roman"/>
          <w:sz w:val="32"/>
          <w:szCs w:val="32"/>
          <w:lang w:eastAsia="zh-CN"/>
        </w:rPr>
        <w:t>组织开展了</w:t>
      </w:r>
      <w:r>
        <w:rPr>
          <w:rFonts w:hint="eastAsia" w:ascii="Times New Roman" w:hAnsi="Times New Roman" w:eastAsia="仿宋_GB2312" w:cs="Times New Roman"/>
          <w:sz w:val="32"/>
          <w:szCs w:val="32"/>
          <w:lang w:val="en-US" w:eastAsia="zh-CN"/>
        </w:rPr>
        <w:t>2022年度</w:t>
      </w:r>
      <w:r>
        <w:rPr>
          <w:rFonts w:hint="default" w:ascii="Times New Roman" w:hAnsi="Times New Roman" w:eastAsia="仿宋_GB2312" w:cs="Times New Roman"/>
          <w:sz w:val="32"/>
          <w:szCs w:val="32"/>
        </w:rPr>
        <w:t>中国现代医院管理典型案例评选工作</w:t>
      </w:r>
      <w:r>
        <w:rPr>
          <w:rFonts w:hint="eastAsia" w:ascii="Times New Roman" w:hAnsi="Times New Roman" w:eastAsia="仿宋_GB2312" w:cs="Times New Roman"/>
          <w:sz w:val="32"/>
          <w:szCs w:val="32"/>
          <w:lang w:eastAsia="zh-CN"/>
        </w:rPr>
        <w:t>，</w:t>
      </w:r>
      <w:r>
        <w:rPr>
          <w:rFonts w:hint="eastAsia" w:ascii="Times New Roman" w:hAnsi="Times New Roman" w:eastAsia="仿宋_GB2312"/>
          <w:sz w:val="32"/>
          <w:szCs w:val="32"/>
          <w:lang w:eastAsia="zh-CN"/>
        </w:rPr>
        <w:t>共收到190家医院申报609个案例。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32"/>
          <w:szCs w:val="32"/>
          <w:lang w:eastAsia="zh-CN"/>
        </w:rPr>
      </w:pPr>
      <w:r>
        <w:rPr>
          <w:rFonts w:hint="default" w:ascii="Times New Roman" w:hAnsi="Times New Roman" w:eastAsia="仿宋_GB2312" w:cs="Times New Roman"/>
          <w:sz w:val="32"/>
          <w:szCs w:val="32"/>
          <w:lang w:val="en-US" w:eastAsia="zh-CN"/>
        </w:rPr>
        <w:t>本次</w:t>
      </w:r>
      <w:r>
        <w:rPr>
          <w:rFonts w:hint="eastAsia" w:ascii="Times New Roman" w:hAnsi="Times New Roman" w:eastAsia="仿宋_GB2312" w:cs="Times New Roman"/>
          <w:sz w:val="32"/>
          <w:szCs w:val="32"/>
          <w:lang w:val="en-US" w:eastAsia="zh-CN"/>
        </w:rPr>
        <w:t>活动秉承公平、公正、公开原则，</w:t>
      </w:r>
      <w:r>
        <w:rPr>
          <w:rFonts w:hint="default" w:ascii="Times New Roman" w:hAnsi="Times New Roman" w:eastAsia="仿宋_GB2312" w:cs="Times New Roman"/>
          <w:sz w:val="32"/>
          <w:szCs w:val="32"/>
          <w:lang w:val="en-US" w:eastAsia="zh-CN"/>
        </w:rPr>
        <w:t>由评审委员会</w:t>
      </w:r>
      <w:r>
        <w:rPr>
          <w:rFonts w:hint="default" w:ascii="Times New Roman" w:hAnsi="Times New Roman" w:eastAsia="仿宋_GB2312" w:cs="Times New Roman"/>
          <w:sz w:val="32"/>
          <w:szCs w:val="32"/>
          <w:lang w:eastAsia="zh-CN"/>
        </w:rPr>
        <w:t>经过线上</w:t>
      </w:r>
      <w:r>
        <w:rPr>
          <w:rFonts w:hint="eastAsia" w:ascii="Times New Roman" w:hAnsi="Times New Roman" w:eastAsia="仿宋_GB2312" w:cs="Times New Roman"/>
          <w:sz w:val="32"/>
          <w:szCs w:val="32"/>
          <w:lang w:eastAsia="zh-CN"/>
        </w:rPr>
        <w:t>初筛</w:t>
      </w:r>
      <w:r>
        <w:rPr>
          <w:rFonts w:hint="default" w:ascii="Times New Roman" w:hAnsi="Times New Roman" w:eastAsia="仿宋_GB2312" w:cs="Times New Roman"/>
          <w:sz w:val="32"/>
          <w:szCs w:val="32"/>
          <w:lang w:eastAsia="zh-CN"/>
        </w:rPr>
        <w:t>、复评、终评</w:t>
      </w:r>
      <w:r>
        <w:rPr>
          <w:rFonts w:hint="eastAsia" w:ascii="Times New Roman" w:hAnsi="Times New Roman" w:eastAsia="仿宋_GB2312" w:cs="Times New Roman"/>
          <w:sz w:val="32"/>
          <w:szCs w:val="32"/>
          <w:lang w:eastAsia="zh-CN"/>
        </w:rPr>
        <w:t>等环节评审</w:t>
      </w:r>
      <w:r>
        <w:rPr>
          <w:rFonts w:hint="default" w:ascii="Times New Roman" w:hAnsi="Times New Roman" w:eastAsia="仿宋_GB2312" w:cs="Times New Roman"/>
          <w:sz w:val="32"/>
          <w:szCs w:val="32"/>
          <w:lang w:eastAsia="zh-CN"/>
        </w:rPr>
        <w:t>，最终评选出</w:t>
      </w:r>
      <w:r>
        <w:rPr>
          <w:rFonts w:hint="default" w:ascii="Times New Roman" w:hAnsi="Times New Roman" w:eastAsia="仿宋_GB2312"/>
          <w:sz w:val="32"/>
          <w:szCs w:val="32"/>
          <w:lang w:eastAsia="zh-CN"/>
        </w:rPr>
        <w:t>16</w:t>
      </w:r>
      <w:r>
        <w:rPr>
          <w:rFonts w:hint="eastAsia" w:ascii="Times New Roman" w:hAnsi="Times New Roman" w:eastAsia="仿宋_GB2312"/>
          <w:sz w:val="32"/>
          <w:szCs w:val="32"/>
          <w:lang w:val="en-US" w:eastAsia="zh-CN"/>
        </w:rPr>
        <w:t>2</w:t>
      </w:r>
      <w:r>
        <w:rPr>
          <w:rFonts w:hint="default" w:ascii="Times New Roman" w:hAnsi="Times New Roman" w:eastAsia="仿宋_GB2312"/>
          <w:sz w:val="32"/>
          <w:szCs w:val="32"/>
          <w:lang w:eastAsia="zh-CN"/>
        </w:rPr>
        <w:t>个</w:t>
      </w:r>
      <w:r>
        <w:rPr>
          <w:rFonts w:hint="eastAsia" w:ascii="Times New Roman" w:hAnsi="Times New Roman" w:eastAsia="仿宋_GB2312"/>
          <w:sz w:val="32"/>
          <w:szCs w:val="32"/>
          <w:lang w:val="en-US" w:eastAsia="zh-CN"/>
        </w:rPr>
        <w:t>典型案例、</w:t>
      </w:r>
      <w:r>
        <w:rPr>
          <w:rFonts w:hint="default" w:ascii="Times New Roman" w:hAnsi="Times New Roman" w:eastAsia="仿宋_GB2312"/>
          <w:sz w:val="32"/>
          <w:szCs w:val="32"/>
          <w:lang w:eastAsia="zh-CN"/>
        </w:rPr>
        <w:t>16</w:t>
      </w:r>
      <w:r>
        <w:rPr>
          <w:rFonts w:hint="eastAsia" w:ascii="Times New Roman" w:hAnsi="Times New Roman" w:eastAsia="仿宋_GB2312"/>
          <w:sz w:val="32"/>
          <w:szCs w:val="32"/>
          <w:lang w:eastAsia="zh-CN"/>
        </w:rPr>
        <w:t>个</w:t>
      </w:r>
      <w:r>
        <w:rPr>
          <w:rFonts w:hint="default" w:ascii="Times New Roman" w:hAnsi="Times New Roman" w:eastAsia="仿宋_GB2312"/>
          <w:sz w:val="32"/>
          <w:szCs w:val="32"/>
          <w:lang w:eastAsia="zh-CN"/>
        </w:rPr>
        <w:t>最佳人气案例</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9家医院荣获典型案例示范单位、145个优秀案例、20家医院荣获优秀组织单位奖（</w:t>
      </w:r>
      <w:r>
        <w:rPr>
          <w:rFonts w:hint="eastAsia" w:ascii="Times New Roman" w:hAnsi="Times New Roman" w:eastAsia="仿宋_GB2312"/>
          <w:sz w:val="32"/>
          <w:szCs w:val="32"/>
          <w:lang w:eastAsia="zh-CN"/>
        </w:rPr>
        <w:t>名单见附件</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特此通报。</w:t>
      </w: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sectPr>
          <w:footerReference r:id="rId3" w:type="default"/>
          <w:pgSz w:w="11906" w:h="16838"/>
          <w:pgMar w:top="1440" w:right="1800" w:bottom="1440" w:left="1800" w:header="851" w:footer="992" w:gutter="0"/>
          <w:pgNumType w:fmt="numberInDash" w:start="2"/>
          <w:cols w:space="425" w:num="1"/>
          <w:docGrid w:type="lines" w:linePitch="312" w:charSpace="0"/>
        </w:sect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年度中国现代医院管理典型案例评选获选</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国家卫生健康委能力建设和继续教育中心</w:t>
      </w:r>
    </w:p>
    <w:p>
      <w:pPr>
        <w:pStyle w:val="2"/>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default"/>
          <w:lang w:val="en-US" w:eastAsia="zh-CN"/>
        </w:rPr>
        <w:sectPr>
          <w:footerReference r:id="rId4" w:type="default"/>
          <w:pgSz w:w="11906" w:h="16838"/>
          <w:pgMar w:top="1440" w:right="1800" w:bottom="1440" w:left="1800" w:header="851" w:footer="992" w:gutter="0"/>
          <w:pgNumType w:fmt="numberInDash" w:start="2"/>
          <w:cols w:space="425" w:num="1"/>
          <w:docGrid w:type="lines" w:linePitch="312" w:charSpace="0"/>
        </w:sect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 xml:space="preserve">16日 </w:t>
      </w:r>
    </w:p>
    <w:p>
      <w:pPr>
        <w:rPr>
          <w:rFonts w:hint="eastAsia" w:ascii="黑体" w:hAnsi="黑体" w:eastAsia="黑体" w:cs="黑体"/>
          <w:sz w:val="32"/>
          <w:szCs w:val="40"/>
          <w:lang w:val="en-US" w:eastAsia="zh-CN"/>
        </w:rPr>
      </w:pPr>
      <w:r>
        <w:rPr>
          <w:rFonts w:hint="eastAsia" w:ascii="黑体" w:hAnsi="黑体" w:eastAsia="黑体" w:cs="黑体"/>
          <w:sz w:val="32"/>
          <w:szCs w:val="40"/>
          <w:lang w:eastAsia="zh-CN"/>
        </w:rPr>
        <w:t>附件</w:t>
      </w:r>
    </w:p>
    <w:p>
      <w:pPr>
        <w:rPr>
          <w:rFonts w:hint="eastAsia"/>
          <w:lang w:val="en-US" w:eastAsia="zh-CN"/>
        </w:rPr>
      </w:pPr>
    </w:p>
    <w:p>
      <w:pPr>
        <w:jc w:val="center"/>
        <w:rPr>
          <w:rFonts w:hint="eastAsia" w:ascii="Times New Roman" w:hAnsi="Times New Roman" w:eastAsia="方正小标宋_GBK" w:cs="Times New Roman"/>
          <w:sz w:val="44"/>
          <w:szCs w:val="44"/>
          <w:lang w:val="en-US" w:eastAsia="zh-CN"/>
        </w:rPr>
      </w:pPr>
      <w:r>
        <w:rPr>
          <w:rFonts w:hint="eastAsia" w:ascii="方正小标宋_GBK" w:hAnsi="方正小标宋_GBK" w:eastAsia="方正小标宋_GBK" w:cs="方正小标宋_GBK"/>
          <w:sz w:val="40"/>
          <w:szCs w:val="48"/>
          <w:lang w:val="en-US" w:eastAsia="zh-CN"/>
        </w:rPr>
        <w:t>2022年度中国现代医院管理</w:t>
      </w:r>
      <w:r>
        <w:rPr>
          <w:rFonts w:hint="default" w:ascii="Times New Roman" w:hAnsi="Times New Roman" w:eastAsia="方正小标宋_GBK" w:cs="Times New Roman"/>
          <w:sz w:val="44"/>
          <w:szCs w:val="44"/>
          <w:lang w:val="en-US" w:eastAsia="zh-CN"/>
        </w:rPr>
        <w:t>典型案例评选获</w:t>
      </w:r>
      <w:r>
        <w:rPr>
          <w:rFonts w:hint="eastAsia" w:ascii="Times New Roman" w:hAnsi="Times New Roman" w:eastAsia="方正小标宋_GBK" w:cs="Times New Roman"/>
          <w:sz w:val="44"/>
          <w:szCs w:val="44"/>
          <w:lang w:val="en-US" w:eastAsia="zh-CN"/>
        </w:rPr>
        <w:t>奖结果——典型案例</w:t>
      </w:r>
    </w:p>
    <w:p>
      <w:pPr>
        <w:pStyle w:val="2"/>
        <w:jc w:val="center"/>
        <w:rPr>
          <w:rFonts w:hint="eastAsia"/>
          <w:sz w:val="32"/>
          <w:szCs w:val="32"/>
          <w:lang w:val="en-US" w:eastAsia="zh-CN"/>
        </w:rPr>
      </w:pPr>
      <w:r>
        <w:rPr>
          <w:rFonts w:hint="eastAsia" w:ascii="方正小标宋_GBK" w:hAnsi="方正小标宋_GBK" w:eastAsia="方正小标宋_GBK" w:cs="方正小标宋_GBK"/>
          <w:i w:val="0"/>
          <w:iCs w:val="0"/>
          <w:color w:val="000000"/>
          <w:kern w:val="0"/>
          <w:sz w:val="32"/>
          <w:szCs w:val="32"/>
          <w:u w:val="none"/>
          <w:lang w:val="en-US" w:eastAsia="zh-CN" w:bidi="ar"/>
        </w:rPr>
        <w:t>一、医院党建</w:t>
      </w:r>
    </w:p>
    <w:tbl>
      <w:tblPr>
        <w:tblStyle w:val="6"/>
        <w:tblW w:w="162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8197"/>
        <w:gridCol w:w="73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8"/>
                <w:szCs w:val="28"/>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序号</w:t>
            </w:r>
          </w:p>
        </w:tc>
        <w:tc>
          <w:tcPr>
            <w:tcW w:w="8197"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pPr>
            <w: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t>案例名称</w:t>
            </w:r>
          </w:p>
        </w:tc>
        <w:tc>
          <w:tcPr>
            <w:tcW w:w="7314"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pPr>
            <w: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1</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智慧云平台赋能公立医院高质量党建案例</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同济大学附属第十人民医院（上海市第十人民医院）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党建业务双驱动，相融相促双提升</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山东中医药大学附属医院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坚持“三聚焦”， 构建新时代公立医院党支部的“形神魂 ”</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江苏省苏北人民医院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全周期廉政风险监督服务公立医院高质量发展</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医院高质量发展背景下党建品牌体系的构建</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重庆大学附属肿瘤医院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以党支部综合目标管理体系为抓手，推动医院基层党建高质量发展</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中山大学肿瘤防治中心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新形势下公立医院构建党建管理体系的探索与实践</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探索“315党建赋能工作模型”以高质量党建推动医院高质量发展</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北京大学深圳医院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抓好“十大体系”推动医院文化建设高质量发展</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吉林大学中日联谊医院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公立医院党支部考核机制建设</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w w:val="95"/>
                <w:kern w:val="0"/>
                <w:sz w:val="28"/>
                <w:szCs w:val="28"/>
                <w:u w:val="none"/>
                <w:lang w:val="en-US" w:eastAsia="zh-CN" w:bidi="ar"/>
              </w:rPr>
              <w:t>中国医学科学院血液病医院（中国医学科学院血液学研究所）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党建引领“制度建设”助推医院精细化管理</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中国科学院大学深圳医院（光明）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“三联三融”促发展探索实践</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江南大学附属医院</w:t>
            </w:r>
          </w:p>
        </w:tc>
      </w:tr>
    </w:tbl>
    <w:p>
      <w:pPr>
        <w:pStyle w:val="2"/>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二、医院战略与运营管理</w:t>
      </w:r>
    </w:p>
    <w:tbl>
      <w:tblPr>
        <w:tblStyle w:val="6"/>
        <w:tblW w:w="161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8235"/>
        <w:gridCol w:w="72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4"/>
                <w:szCs w:val="24"/>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序号</w:t>
            </w:r>
          </w:p>
        </w:tc>
        <w:tc>
          <w:tcPr>
            <w:tcW w:w="8235"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4"/>
                <w:szCs w:val="24"/>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案例名称</w:t>
            </w:r>
          </w:p>
        </w:tc>
        <w:tc>
          <w:tcPr>
            <w:tcW w:w="7227"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4"/>
                <w:szCs w:val="24"/>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1</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建设“云上协和”，规划实施互联网医疗发展战略新模式</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北京协和医院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基于组团式专科运营模式下的医院精益化管理实践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上海交通大学医学院附属新华医院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DRG支付方式改革下的医院业财融合成本管控案例</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北京积水潭医院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基于SPD模式下的医用耗材管理模式创新</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中南大学湘雅医院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中心+专科+专病模式助力医院高质量发展</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南方医科大学珠江医院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基于SFIC模型构建现代医院运营管理体系的创新探索</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8"/>
                <w:szCs w:val="28"/>
                <w:u w:val="none"/>
                <w:lang w:val="en-US"/>
              </w:rPr>
            </w:pPr>
            <w:r>
              <w:rPr>
                <w:rFonts w:hint="eastAsia" w:ascii="仿宋_GB2312" w:hAnsi="宋体" w:eastAsia="仿宋_GB2312" w:cs="仿宋_GB2312"/>
                <w:i w:val="0"/>
                <w:iCs w:val="0"/>
                <w:color w:val="000000"/>
                <w:kern w:val="0"/>
                <w:sz w:val="28"/>
                <w:szCs w:val="28"/>
                <w:u w:val="none"/>
                <w:lang w:val="en-US" w:eastAsia="zh-CN" w:bidi="ar"/>
              </w:rPr>
              <w:t>复旦大学附属儿科医院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构建可视化动态成本管控平台，助力医院精细化管理</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吉林大学第一医院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基于标准化作业的项目成本核算创新模式实践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w w:val="95"/>
                <w:kern w:val="0"/>
                <w:sz w:val="28"/>
                <w:szCs w:val="28"/>
                <w:u w:val="none"/>
                <w:lang w:val="en-US" w:eastAsia="zh-CN" w:bidi="ar"/>
              </w:rPr>
              <w:t>中国医学科学院血液病医院（中国医学科学院血液学研究所）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精益管理助推医院高质量发展—医院战略与运营管理实践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吉林大学中日联谊医院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多学科联合诊治（MDT）全流程管理助力一站式医疗服务模式创新</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广西医科大学第一附属医院</w:t>
            </w:r>
          </w:p>
        </w:tc>
      </w:tr>
    </w:tbl>
    <w:p>
      <w:pPr>
        <w:pStyle w:val="3"/>
        <w:rPr>
          <w:rFonts w:hint="eastAsia"/>
          <w:lang w:val="en-US" w:eastAsia="zh-CN"/>
        </w:rPr>
      </w:pPr>
    </w:p>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三、医院学科建设</w:t>
      </w:r>
    </w:p>
    <w:tbl>
      <w:tblPr>
        <w:tblStyle w:val="6"/>
        <w:tblW w:w="163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1"/>
        <w:gridCol w:w="8415"/>
        <w:gridCol w:w="72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1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213"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构建协同攻关项目管理体系  提升科技创新工程实施成效</w:t>
            </w:r>
          </w:p>
        </w:tc>
        <w:tc>
          <w:tcPr>
            <w:tcW w:w="7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w w:val="95"/>
                <w:kern w:val="0"/>
                <w:sz w:val="28"/>
                <w:szCs w:val="28"/>
                <w:u w:val="none"/>
                <w:lang w:val="en-US" w:eastAsia="zh-CN" w:bidi="ar"/>
              </w:rPr>
              <w:t>中国医学科学院血液病医院（中国医学科学院血液学研究所）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医院临床研究支撑体系与平台建设</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学科建设驱动“四个创新”，助推公立医院高质量发展</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新疆维吾尔自治区人民医院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以多学科共促为支点，撬动健康管理学科建设</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医院科室科研分级管理绩效考核指标体系的优化及应用</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首都医科大学附属北京妇产医院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国家区域医疗中心建设背景下医院学科建设管理实践——伴飞计划</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创建科研内控管理体系，为国家医学中心建设赋能</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中国医学科学院阜外医院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临床研究精细化管理体系的建设与实践</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浙江大学医学院附属邵逸夫医院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高质量体外循环专科建设模式实践</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四、医院健康医疗大数据应用</w:t>
      </w:r>
    </w:p>
    <w:tbl>
      <w:tblPr>
        <w:tblStyle w:val="6"/>
        <w:tblW w:w="161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1"/>
        <w:gridCol w:w="8400"/>
        <w:gridCol w:w="70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0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28"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构建数据生态体系，赋能现代数字化医院</w:t>
            </w: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国家临床医学研究中心大数据共享协作平台的建立与应用</w:t>
            </w: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中南大学湘雅医院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数据赋能肝癌MDT智能化体系构建</w:t>
            </w: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福建医科大学孟超肝胆医院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公立医院高质量发展背景下传染病监测体系建设方法实践</w:t>
            </w: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AI驱动下门诊CDSS,助医者“慧”诊</w:t>
            </w: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复旦大学附属儿科医院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基于新一代信息技术头颈咽喉肿瘤智能诊疗一体化平台建设及应用</w:t>
            </w: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临床大数据挖掘与应用——肿瘤相关VTE智能防治管理系统实践</w:t>
            </w: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广西医科大学附属肿瘤医院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五、智慧医院</w:t>
      </w:r>
    </w:p>
    <w:tbl>
      <w:tblPr>
        <w:tblStyle w:val="6"/>
        <w:tblW w:w="162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445"/>
        <w:gridCol w:w="70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4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18"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AI医学大脑及其智慧医疗服务全流程应用</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浙江大学医学院附属邵逸夫医院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以消息驱动的医院智慧服务模式建设实践</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物联网技术赋能可移动医疗设备共享管理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首都医科大学附属北京安贞医院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信息化建设助力手术室全流程管理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基于标准化IT治理体系的智慧医院一体化建设管理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天津市肿瘤医院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智慧化人工智能医疗废物管理新模式</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河南科技大学第一附属医院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以“零距离”建设理念，打造智慧医疗服务新标杆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运用智能化信息技术实现手术室人员行为精细化管理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中南大学湘雅医院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基于微信公众号程序的院内综合性信息服务</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开放融合，赋能创新—— 建设智慧医院助力医院高质量发展</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互联网医院“智慧服务”模式创新</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首都医科大学附属北京儿童医院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六、医院医疗质量安全管理</w:t>
      </w:r>
    </w:p>
    <w:tbl>
      <w:tblPr>
        <w:tblStyle w:val="6"/>
        <w:tblW w:w="162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6"/>
        <w:gridCol w:w="8220"/>
        <w:gridCol w:w="72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2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26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日间手术的运营与质量管理</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基于HFMEA理念下的AMI患者安全风险管理实践</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空军军医大学第二附属医院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日间手术全闭环管理及快速康复体系的研究和应用</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厦门大学附属第一医院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基于PBL和信息化建设在医院不良事件闭环管理中的应用</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四川大学华西第二医院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病案无纸化：流程再造助力医务精细化与高效能管理</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w w:val="93"/>
                <w:kern w:val="0"/>
                <w:sz w:val="28"/>
                <w:szCs w:val="28"/>
                <w:u w:val="none"/>
                <w:lang w:val="en-US" w:eastAsia="zh-CN" w:bidi="ar"/>
              </w:rPr>
              <w:t>复旦大学附属华山医院福建医院（福建医科大学附属第一医院）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危险性上消化道出血快速救治通道管理实践</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智慧院感防控全流程管理平台建设</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天津医科大学肿瘤医院（天津市肿瘤医院）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质量效益医疗管理新模式 ——临床路径PM-OKR管理探索实践</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“时间轴”管理模式在重症创伤急诊救护中的应用</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深圳市人民医院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VTE防管控智慧管理体系建设</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北京大学深圳医院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规范MDT内涵建设 打造肿瘤患者全生命周期管理</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门急诊电子病历智慧质控体系建设</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华中科技大学同济医学院附属协和医院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13</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创新“融合诊疗”新模式—多学科诊治儿童疑难罕见病的管理实践</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复旦大学附属儿科医院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14</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医院“AI诊后患者管理”服务模式实践</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枣庄市立医院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15</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优化急诊平台建设，提升医疗服务能力</w:t>
            </w:r>
          </w:p>
        </w:tc>
        <w:tc>
          <w:tcPr>
            <w:tcW w:w="7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滨州医学院附属医院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七、医院经济运行与内控制度</w:t>
      </w:r>
    </w:p>
    <w:tbl>
      <w:tblPr>
        <w:tblStyle w:val="6"/>
        <w:tblW w:w="160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1"/>
        <w:gridCol w:w="8250"/>
        <w:gridCol w:w="7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5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77"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基于战略导向的设备全生命周期管理体系建设</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四川大学华西第二医院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强化全过程造价控制，提升大型工程投资效益</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中国医学科学院肿瘤医院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协同驱动的医院全面预算绩效管理体系构建</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精细化运营分析助力医院高质量发展</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滨州医学院附属医院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运用SEMMA理论实现科室精益化管理</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运用集中结算技术解决科研经费“报销繁”实践案例</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中山大学孙逸仙纪念医院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聚力以控促优 手术室一次性高值耗材精益化管理实践</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以演化思维推进医院预算绩效管理</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福建医科大学孟超肝胆医院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八、医院绩效管理</w:t>
      </w:r>
    </w:p>
    <w:tbl>
      <w:tblPr>
        <w:tblStyle w:val="6"/>
        <w:tblW w:w="160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1"/>
        <w:gridCol w:w="8265"/>
        <w:gridCol w:w="7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6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53"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基于DIP的医院绩效管理实践与成效</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精益管理驱动的高质量发展—基于绩效体系的构建与实践</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华中科技大学同济医学院附属协和医院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小绩效薪酬改革撬动高质量发展大绩效提升</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中国医科大学附属盛京医院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基于学科发展为导向的绩效方案设计</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基于DRGs支付方式下的成本管理路径研究</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基于LSS管理模式的手术室资源配置体系的构建</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深圳市人民医院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深化绩效管理改革，推动医院高质量发展</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广东医科大学附属医院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基于平衡记分卡的绩效考核体系构建与实践</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滨州医学院附属医院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九、医院医保精细化管理</w:t>
      </w:r>
    </w:p>
    <w:tbl>
      <w:tblPr>
        <w:tblStyle w:val="6"/>
        <w:tblW w:w="161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1"/>
        <w:gridCol w:w="8220"/>
        <w:gridCol w:w="71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2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127"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Style w:val="13"/>
                <w:rFonts w:hAnsi="宋体"/>
                <w:lang w:val="en-US" w:eastAsia="zh-CN" w:bidi="ar"/>
              </w:rPr>
              <w:t>基于</w:t>
            </w:r>
            <w:r>
              <w:rPr>
                <w:rStyle w:val="14"/>
                <w:rFonts w:eastAsia="仿宋_GB2312"/>
                <w:lang w:val="en-US" w:eastAsia="zh-CN" w:bidi="ar"/>
              </w:rPr>
              <w:t>DRG</w:t>
            </w:r>
            <w:r>
              <w:rPr>
                <w:rStyle w:val="13"/>
                <w:rFonts w:hAnsi="宋体"/>
                <w:lang w:val="en-US" w:eastAsia="zh-CN" w:bidi="ar"/>
              </w:rPr>
              <w:t>付费的医保创新管理模式</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Style w:val="13"/>
                <w:rFonts w:hAnsi="宋体"/>
                <w:lang w:val="en-US" w:eastAsia="zh-CN" w:bidi="ar"/>
              </w:rPr>
              <w:t>基于医保</w:t>
            </w:r>
            <w:r>
              <w:rPr>
                <w:rStyle w:val="14"/>
                <w:rFonts w:eastAsia="仿宋_GB2312"/>
                <w:lang w:val="en-US" w:eastAsia="zh-CN" w:bidi="ar"/>
              </w:rPr>
              <w:t>DRG</w:t>
            </w:r>
            <w:r>
              <w:rPr>
                <w:rStyle w:val="13"/>
                <w:rFonts w:hAnsi="宋体"/>
                <w:lang w:val="en-US" w:eastAsia="zh-CN" w:bidi="ar"/>
              </w:rPr>
              <w:t>付费的医院管理模块化探索和实践</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中国医科大学附属第四医院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Style w:val="13"/>
                <w:rFonts w:hAnsi="宋体"/>
                <w:lang w:val="en-US" w:eastAsia="zh-CN" w:bidi="ar"/>
              </w:rPr>
              <w:t>创新推行预住院管理模式，实现</w:t>
            </w:r>
            <w:r>
              <w:rPr>
                <w:rStyle w:val="14"/>
                <w:rFonts w:eastAsia="仿宋_GB2312"/>
                <w:lang w:val="en-US" w:eastAsia="zh-CN" w:bidi="ar"/>
              </w:rPr>
              <w:t>“</w:t>
            </w:r>
            <w:r>
              <w:rPr>
                <w:rStyle w:val="13"/>
                <w:rFonts w:hAnsi="宋体"/>
                <w:lang w:val="en-US" w:eastAsia="zh-CN" w:bidi="ar"/>
              </w:rPr>
              <w:t>四方共赢</w:t>
            </w:r>
            <w:r>
              <w:rPr>
                <w:rStyle w:val="14"/>
                <w:rFonts w:eastAsia="仿宋_GB2312"/>
                <w:lang w:val="en-US" w:eastAsia="zh-CN" w:bidi="ar"/>
              </w:rPr>
              <w:t>”</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秦皇岛市第一医院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Style w:val="13"/>
                <w:rFonts w:hAnsi="宋体"/>
                <w:lang w:val="en-US" w:eastAsia="zh-CN" w:bidi="ar"/>
              </w:rPr>
              <w:t>构建</w:t>
            </w:r>
            <w:r>
              <w:rPr>
                <w:rStyle w:val="14"/>
                <w:rFonts w:eastAsia="仿宋_GB2312"/>
                <w:lang w:val="en-US" w:eastAsia="zh-CN" w:bidi="ar"/>
              </w:rPr>
              <w:t>DRG</w:t>
            </w:r>
            <w:r>
              <w:rPr>
                <w:rStyle w:val="13"/>
                <w:rFonts w:hAnsi="宋体"/>
                <w:lang w:val="en-US" w:eastAsia="zh-CN" w:bidi="ar"/>
              </w:rPr>
              <w:t>背景下医院医疗服务提质增效机制</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广东医科大学附属医院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Style w:val="13"/>
                <w:rFonts w:hAnsi="宋体"/>
                <w:lang w:val="en-US" w:eastAsia="zh-CN" w:bidi="ar"/>
              </w:rPr>
              <w:t>儿童专科医疗机构</w:t>
            </w:r>
            <w:r>
              <w:rPr>
                <w:rStyle w:val="14"/>
                <w:rFonts w:eastAsia="仿宋_GB2312"/>
                <w:lang w:val="en-US" w:eastAsia="zh-CN" w:bidi="ar"/>
              </w:rPr>
              <w:t>CHS-DRG</w:t>
            </w:r>
            <w:r>
              <w:rPr>
                <w:rStyle w:val="13"/>
                <w:rFonts w:hAnsi="宋体"/>
                <w:lang w:val="en-US" w:eastAsia="zh-CN" w:bidi="ar"/>
              </w:rPr>
              <w:t>重点病组协同管理</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构建诊疗收费合理性的医保内控体系</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8"/>
                <w:szCs w:val="28"/>
                <w:u w:val="none"/>
              </w:rPr>
            </w:pPr>
            <w:r>
              <w:rPr>
                <w:rStyle w:val="14"/>
                <w:rFonts w:eastAsia="宋体"/>
                <w:lang w:val="en-US" w:eastAsia="zh-CN" w:bidi="ar"/>
              </w:rPr>
              <w:t>“</w:t>
            </w:r>
            <w:r>
              <w:rPr>
                <w:rStyle w:val="13"/>
                <w:rFonts w:hAnsi="Times New Roman"/>
                <w:lang w:val="en-US" w:eastAsia="zh-CN" w:bidi="ar"/>
              </w:rPr>
              <w:t>控费、降本、提质</w:t>
            </w:r>
            <w:r>
              <w:rPr>
                <w:rStyle w:val="14"/>
                <w:rFonts w:eastAsia="宋体"/>
                <w:lang w:val="en-US" w:eastAsia="zh-CN" w:bidi="ar"/>
              </w:rPr>
              <w:t>”</w:t>
            </w:r>
            <w:r>
              <w:rPr>
                <w:rStyle w:val="13"/>
                <w:rFonts w:hAnsi="Times New Roman"/>
                <w:lang w:val="en-US" w:eastAsia="zh-CN" w:bidi="ar"/>
              </w:rPr>
              <w:t>的</w:t>
            </w:r>
            <w:r>
              <w:rPr>
                <w:rStyle w:val="14"/>
                <w:rFonts w:eastAsia="宋体"/>
                <w:lang w:val="en-US" w:eastAsia="zh-CN" w:bidi="ar"/>
              </w:rPr>
              <w:t xml:space="preserve">DIP </w:t>
            </w:r>
            <w:r>
              <w:rPr>
                <w:rStyle w:val="13"/>
                <w:rFonts w:hAnsi="Times New Roman"/>
                <w:lang w:val="en-US" w:eastAsia="zh-CN" w:bidi="ar"/>
              </w:rPr>
              <w:t>精益之路</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南方医科大学深圳医院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8"/>
                <w:szCs w:val="28"/>
                <w:u w:val="none"/>
              </w:rPr>
            </w:pPr>
            <w:r>
              <w:rPr>
                <w:rStyle w:val="14"/>
                <w:rFonts w:eastAsia="宋体"/>
                <w:lang w:val="en-US" w:eastAsia="zh-CN" w:bidi="ar"/>
              </w:rPr>
              <w:t>DRG</w:t>
            </w:r>
            <w:r>
              <w:rPr>
                <w:rStyle w:val="13"/>
                <w:rFonts w:hAnsi="Times New Roman"/>
                <w:lang w:val="en-US" w:eastAsia="zh-CN" w:bidi="ar"/>
              </w:rPr>
              <w:t>支付模式下公立医院医保精细化管理的思考与实践</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攀枝花市中心医院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十、医院护理管理</w:t>
      </w:r>
    </w:p>
    <w:tbl>
      <w:tblPr>
        <w:tblStyle w:val="6"/>
        <w:tblW w:w="161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2"/>
        <w:gridCol w:w="8337"/>
        <w:gridCol w:w="7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337"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112"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协和特色“N+X”护理人才培养模式的构建与应用</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北京协和医院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新生儿重症监护病房家庭参与式看护模式的研究及推广</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首都医科大学附属北京儿童医院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构建证据生态系统，提升尿路造口患者生活质量实践</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北京大学第一医院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基于超前思维，构建CSCI患者呼吸系统风险管理模式</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空军军医大学第二附属医院（唐都医院）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政府-医院-社康-家庭“四位一体”延续护理服务模式的实践</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中山大学附属第八医院（深圳福田）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6</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护理专科（专病）指标构建与持续改进</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丽水市中心医院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7</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以个案管理师为主导的互联网+全病程管理模式的构建与实践</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广东医科大学附属医院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8</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新生儿阶梯式精细化管理助力儿童友好医院发展</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9</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B-FOCUS血液病患者生存质量管理模式构建</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w w:val="95"/>
                <w:sz w:val="28"/>
                <w:lang w:val="en-US" w:eastAsia="zh-CN" w:bidi="ar"/>
              </w:rPr>
              <w:t>中国医学科学院血液病医院（中国医学科学院血液学研究所）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10</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基于提升重症机械通气患者疗效的呼吸治疗团队建设与临床实践</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皖南医学院弋矶山医院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11</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基于智慧化信息平台的多科协同模式提升日间手术周转率</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12</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精益管理缩短门诊高峰时段抽血等候时间</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北京市门头沟区医院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13</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全周期康护行动，护航母婴健康</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14</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型之有效面临大型临时任务时的高效护理人力调配管理模型的构建</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中国科学院大学深圳医院（光明）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15</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CTCT-N模式在创伤中心 急诊护理团队建设中的应用</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南昌大学第一附属医院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16</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构建多维满意度测评体系  助力医院高质量发展</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中南大学湘雅医院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17</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护士主导的围手术期糖尿病患者全链条血糖管理模式构建及应用</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山西省人民医院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18</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基于TISS的护士工作嵌入对重症医学科护理人力资源配置的探讨</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深圳市人民医院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19</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从知到行 ---聚焦围术期加速康复，“八步走”实现护理变革</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20</w:t>
            </w:r>
          </w:p>
        </w:tc>
        <w:tc>
          <w:tcPr>
            <w:tcW w:w="8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“有先有后 5E服务”标准化沟通服务护患双赢</w:t>
            </w:r>
          </w:p>
        </w:tc>
        <w:tc>
          <w:tcPr>
            <w:tcW w:w="7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4"/>
                <w:rFonts w:hint="default" w:ascii="Times New Roman" w:hAnsi="Times New Roman" w:eastAsia="仿宋_GB2312" w:cs="Times New Roman"/>
                <w:lang w:val="en-US" w:eastAsia="zh-CN" w:bidi="ar"/>
              </w:rPr>
            </w:pPr>
            <w:r>
              <w:rPr>
                <w:rStyle w:val="14"/>
                <w:rFonts w:hint="default" w:ascii="Times New Roman" w:hAnsi="Times New Roman" w:eastAsia="仿宋_GB2312" w:cs="Times New Roman"/>
                <w:lang w:val="en-US" w:eastAsia="zh-CN" w:bidi="ar"/>
              </w:rPr>
              <w:t>大连医科大学附属第二医院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十一、医院人力资源管理</w:t>
      </w:r>
    </w:p>
    <w:tbl>
      <w:tblPr>
        <w:tblStyle w:val="6"/>
        <w:tblW w:w="160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9"/>
        <w:gridCol w:w="8287"/>
        <w:gridCol w:w="7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87"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133"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“筑浪”全生命周期职业生涯规划项目</w:t>
            </w:r>
          </w:p>
        </w:tc>
        <w:tc>
          <w:tcPr>
            <w:tcW w:w="7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四川大学华西第二医院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夯实中坚力量，提升胜任能力</w:t>
            </w:r>
          </w:p>
        </w:tc>
        <w:tc>
          <w:tcPr>
            <w:tcW w:w="7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引育并重，打造人才集聚“强磁场”</w:t>
            </w:r>
          </w:p>
        </w:tc>
        <w:tc>
          <w:tcPr>
            <w:tcW w:w="7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管理岗位职业化培训体系的探索与构建</w:t>
            </w:r>
          </w:p>
        </w:tc>
        <w:tc>
          <w:tcPr>
            <w:tcW w:w="7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十二、医院文化建设</w:t>
      </w:r>
    </w:p>
    <w:tbl>
      <w:tblPr>
        <w:tblStyle w:val="6"/>
        <w:tblW w:w="160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220"/>
        <w:gridCol w:w="7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20"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110"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以病人为中心的AI智能引擎驱动场景化就医模式的患者APP建设</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建立持续关爱听力障碍患者的区域人文医疗模式</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厚道初心，传承百年文化；三线模式，护航妇幼健康</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“稚爱廉心”党建文化品牌</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厦门市妇幼保健院（林巧稚妇女儿童医院）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w w:val="95"/>
                <w:kern w:val="0"/>
                <w:sz w:val="28"/>
                <w:szCs w:val="28"/>
                <w:u w:val="none"/>
                <w:lang w:val="en-US" w:eastAsia="zh-CN" w:bidi="ar"/>
              </w:rPr>
              <w:t>基于跨文化护理理论的综合医院肿瘤病房“四无”模式的探索与实践</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深圳市人民医院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搭建大病救助服务平台，共谱医院人文建设新篇</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广东医科大学附属医院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医院红色文化作品及文化场馆建设实践</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w w:val="95"/>
                <w:kern w:val="0"/>
                <w:sz w:val="28"/>
                <w:szCs w:val="28"/>
                <w:u w:val="none"/>
                <w:lang w:val="en-US" w:eastAsia="zh-CN" w:bidi="ar"/>
              </w:rPr>
              <w:t>中国医学科学院血液病医院（中国医学科学院血液学研究所）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2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借力冬（残）奥会医疗保障 推进医院文化建设实践</w:t>
            </w:r>
          </w:p>
        </w:tc>
        <w:tc>
          <w:tcPr>
            <w:tcW w:w="7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十三、医院后勤管理</w:t>
      </w:r>
    </w:p>
    <w:tbl>
      <w:tblPr>
        <w:tblStyle w:val="6"/>
        <w:tblW w:w="160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505"/>
        <w:gridCol w:w="67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0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79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公立医院高质量发展模式下的医疗设备精益化管理实践研究</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华中科技大学同济医学院附属同济医院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基于物联网数字孪生技术的医用设备智慧管理平台</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数据驱动“生命之源”精细化管理</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天津市肿瘤医院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患者转运协调指挥管理新模式构建与应用-基于智慧管理跨部门合作</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上海市第一人民医院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疫情背景下，基于servqual模型搭建后勤服务便民平台</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院内医疗废弃物闭环管理系统的创新应用</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浙江大学医学院附属邵逸夫医院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装配式技术在医疗建筑中的应用</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秦皇岛市第一医院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医疗设备“五化”智能管理 数字赋能降本增效</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北京大学深圳医院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绿色低碳医院后勤能耗管理实践</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上海市同仁医院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缩短门诊患者候诊时间</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北京京煤集团总医院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十四、医院媒体工作</w:t>
      </w:r>
    </w:p>
    <w:tbl>
      <w:tblPr>
        <w:tblStyle w:val="6"/>
        <w:tblW w:w="160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2"/>
        <w:gridCol w:w="8584"/>
        <w:gridCol w:w="6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84"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1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围绕群众需求，创新驱动疫情防控下儿童健康传播</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讲好医院冬奥故事 彰显大国医者风范</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某医院健康传播的实践与思考</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“互动仪式链理论”推动医疗机构新媒体健康科普传播</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媒体聚焦 直通医院—— 融媒体背景下打造医院宣传“新势力”</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滨州医学院附属医院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疫情常态化下健康大讲堂讲座模式创 新分析</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中山大学附属第八医院（深圳福田）</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十五、医院药事管理</w:t>
      </w:r>
    </w:p>
    <w:tbl>
      <w:tblPr>
        <w:tblStyle w:val="6"/>
        <w:tblW w:w="162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1"/>
        <w:gridCol w:w="8535"/>
        <w:gridCol w:w="6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3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93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儿童专科处方前置审核与儿科合理用药管理模式项目建设</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复旦大学附属儿科医院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基于ERAS理念的营养支持药学服务模式的构建与实践</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中山大学附属第六医院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基于药学服务收费政策背景 下的药学发展新模式</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基于全域可视化的药品集采与医保资金结余留用的管理实践</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新疆医科大学第五附属医院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药箱信息化闭环管理，赋能手术麻醉用药</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“云端+线下”双赋能，开辟基层临床药学服务“硬核”转型之路</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药品带量采购科学管理</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南方医科大学珠江医院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DRGs下信息化助力医院药事管理高质量发展</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“多位一体”促进基层医疗机构合理用药</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中山大学附属第八医院（深圳福田）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将安全嵌入全流程管理--智能儿科门急诊药房服务系统</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天津市儿童医院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十六、县域医共体建设</w:t>
      </w:r>
    </w:p>
    <w:tbl>
      <w:tblPr>
        <w:tblStyle w:val="6"/>
        <w:tblW w:w="161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520"/>
        <w:gridCol w:w="68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20" w:type="dxa"/>
            <w:tcBorders>
              <w:top w:val="single" w:color="auto" w:sz="4" w:space="0"/>
              <w:left w:val="single" w:color="auto" w:sz="4" w:space="0"/>
              <w:bottom w:val="single" w:color="auto" w:sz="4" w:space="0"/>
              <w:right w:val="single" w:color="auto"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83" w:type="dxa"/>
            <w:tcBorders>
              <w:top w:val="single" w:color="auto" w:sz="4" w:space="0"/>
              <w:left w:val="single" w:color="auto" w:sz="4" w:space="0"/>
              <w:bottom w:val="single" w:color="auto" w:sz="4" w:space="0"/>
              <w:right w:val="single" w:color="auto"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深化医防融合内涵，当好城乡居民的健康“守门人”</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德清县人民医院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构筑医共体建设綦医样本 推进区域医疗高质量发展</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重庆市綦江区人民医院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运用4+6模式，推进县域医共体建设</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永城市中心医院医疗健康集团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创新突破 砥砺奋进 打造“医联体+医共体”发展新模式</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东营市河口区人民医院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基于5G+AR的海岛医共体急救平台建设</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浙江大学医学院附属邵逸夫医院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十七、医学教育</w:t>
      </w:r>
    </w:p>
    <w:tbl>
      <w:tblPr>
        <w:tblStyle w:val="6"/>
        <w:tblW w:w="161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6"/>
        <w:gridCol w:w="8490"/>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786"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90"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42"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“国家基层儿科医护人员培训项目”的建立与实践</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复旦大学附属儿科医院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基于胜任力导向毕业后教育体系的建设与实施</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“五强”模式助推儿科住院医师规范化培训高质量发展</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提能力，增素质，筑护理教育蓝图</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十八、社会办医</w:t>
      </w:r>
    </w:p>
    <w:tbl>
      <w:tblPr>
        <w:tblStyle w:val="6"/>
        <w:tblW w:w="160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1"/>
        <w:gridCol w:w="8505"/>
        <w:gridCol w:w="6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0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73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物业服务标准化体系建设与完善</w:t>
            </w:r>
          </w:p>
        </w:tc>
        <w:tc>
          <w:tcPr>
            <w:tcW w:w="6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北京大学国际医院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理论-临床-新药”一体化推进学科高质量发展模式的创新与实践</w:t>
            </w:r>
          </w:p>
        </w:tc>
        <w:tc>
          <w:tcPr>
            <w:tcW w:w="6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河北以岭医院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创新型运营管理打造医院快速发展新模式</w:t>
            </w:r>
          </w:p>
        </w:tc>
        <w:tc>
          <w:tcPr>
            <w:tcW w:w="6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阳光融和医院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基于医疗大数据的急诊留观患者分流评价指标体系的建立与应用</w:t>
            </w:r>
          </w:p>
        </w:tc>
        <w:tc>
          <w:tcPr>
            <w:tcW w:w="6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北京大学国际医院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系统合力促进学科建设高速发展</w:t>
            </w:r>
          </w:p>
        </w:tc>
        <w:tc>
          <w:tcPr>
            <w:tcW w:w="6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阳光融和医院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发挥党建引领，以红色堡垒助推医院可持续发展</w:t>
            </w:r>
          </w:p>
        </w:tc>
        <w:tc>
          <w:tcPr>
            <w:tcW w:w="6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阳光融和医院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围术期风险防范与安全管理</w:t>
            </w:r>
          </w:p>
        </w:tc>
        <w:tc>
          <w:tcPr>
            <w:tcW w:w="6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北京大学国际医院</w:t>
            </w:r>
          </w:p>
        </w:tc>
      </w:tr>
    </w:tbl>
    <w:p>
      <w:pPr>
        <w:pStyle w:val="3"/>
        <w:numPr>
          <w:ilvl w:val="0"/>
          <w:numId w:val="1"/>
        </w:numPr>
        <w:ind w:left="0" w:leftChars="0" w:firstLine="0" w:firstLineChars="0"/>
        <w:jc w:val="center"/>
        <w:rPr>
          <w:rFonts w:hint="eastAsia" w:ascii="方正小标宋_GBK" w:hAnsi="方正小标宋_GBK" w:eastAsia="方正小标宋_GBK" w:cs="方正小标宋_GBK"/>
          <w:i w:val="0"/>
          <w:iCs w:val="0"/>
          <w:color w:val="000000"/>
          <w:kern w:val="0"/>
          <w:sz w:val="32"/>
          <w:szCs w:val="32"/>
          <w:u w:val="none"/>
          <w:lang w:val="en-US" w:eastAsia="zh-CN" w:bidi="ar"/>
        </w:rPr>
        <w:sectPr>
          <w:footerReference r:id="rId5" w:type="default"/>
          <w:pgSz w:w="16838" w:h="11906" w:orient="landscape"/>
          <w:pgMar w:top="669" w:right="306" w:bottom="669" w:left="306" w:header="851" w:footer="992" w:gutter="0"/>
          <w:pgNumType w:fmt="numberInDash"/>
          <w:cols w:space="425" w:num="1"/>
          <w:docGrid w:type="lines" w:linePitch="312" w:charSpace="0"/>
        </w:sectPr>
      </w:pPr>
    </w:p>
    <w:p>
      <w:pPr>
        <w:pStyle w:val="3"/>
        <w:numPr>
          <w:ilvl w:val="0"/>
          <w:numId w:val="0"/>
        </w:numPr>
        <w:ind w:leftChars="0"/>
        <w:jc w:val="center"/>
        <w:rPr>
          <w:rFonts w:hint="eastAsia" w:ascii="方正小标宋_GBK" w:hAnsi="方正小标宋_GBK" w:eastAsia="方正小标宋_GBK" w:cs="方正小标宋_GBK"/>
          <w:sz w:val="40"/>
          <w:szCs w:val="48"/>
          <w:lang w:val="en-US" w:eastAsia="zh-CN"/>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Times New Roman" w:hAnsi="Times New Roman" w:eastAsia="方正小标宋_GBK" w:cs="Times New Roman"/>
          <w:sz w:val="44"/>
          <w:szCs w:val="44"/>
          <w:lang w:val="en-US" w:eastAsia="zh-CN"/>
        </w:rPr>
      </w:pPr>
      <w:r>
        <w:rPr>
          <w:rFonts w:hint="eastAsia" w:ascii="方正小标宋_GBK" w:hAnsi="方正小标宋_GBK" w:eastAsia="方正小标宋_GBK" w:cs="方正小标宋_GBK"/>
          <w:sz w:val="40"/>
          <w:szCs w:val="48"/>
          <w:lang w:val="en-US" w:eastAsia="zh-CN"/>
        </w:rPr>
        <w:t>2022年度中国现代医院管理</w:t>
      </w:r>
      <w:r>
        <w:rPr>
          <w:rFonts w:hint="default" w:ascii="Times New Roman" w:hAnsi="Times New Roman" w:eastAsia="方正小标宋_GBK" w:cs="Times New Roman"/>
          <w:sz w:val="44"/>
          <w:szCs w:val="44"/>
          <w:lang w:val="en-US" w:eastAsia="zh-CN"/>
        </w:rPr>
        <w:t>典型案例评选获</w:t>
      </w:r>
      <w:r>
        <w:rPr>
          <w:rFonts w:hint="eastAsia" w:ascii="Times New Roman" w:hAnsi="Times New Roman" w:eastAsia="方正小标宋_GBK" w:cs="Times New Roman"/>
          <w:sz w:val="44"/>
          <w:szCs w:val="44"/>
          <w:lang w:val="en-US" w:eastAsia="zh-CN"/>
        </w:rPr>
        <w:t>奖结果——</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i w:val="0"/>
          <w:iCs w:val="0"/>
          <w:color w:val="000000"/>
          <w:kern w:val="0"/>
          <w:sz w:val="44"/>
          <w:szCs w:val="44"/>
          <w:u w:val="none"/>
          <w:lang w:val="en-US" w:eastAsia="zh-CN" w:bidi="ar"/>
        </w:rPr>
      </w:pPr>
      <w:r>
        <w:rPr>
          <w:rFonts w:hint="eastAsia" w:ascii="方正小标宋_GBK" w:hAnsi="方正小标宋_GBK" w:eastAsia="方正小标宋_GBK" w:cs="方正小标宋_GBK"/>
          <w:sz w:val="40"/>
          <w:szCs w:val="48"/>
          <w:lang w:val="en-US" w:eastAsia="zh-CN"/>
        </w:rPr>
        <w:t>最佳人气案例</w:t>
      </w:r>
    </w:p>
    <w:tbl>
      <w:tblPr>
        <w:tblStyle w:val="6"/>
        <w:tblW w:w="1069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2"/>
        <w:gridCol w:w="3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7002"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黑体" w:hAnsi="宋体" w:eastAsia="黑体" w:cs="黑体"/>
                <w:i w:val="0"/>
                <w:iCs w:val="0"/>
                <w:color w:val="000000"/>
                <w:kern w:val="0"/>
                <w:sz w:val="24"/>
                <w:szCs w:val="24"/>
                <w:u w:val="none"/>
                <w:lang w:val="en-US" w:eastAsia="zh-CN" w:bidi="ar"/>
              </w:rPr>
              <w:t>案例名称</w:t>
            </w:r>
          </w:p>
        </w:tc>
        <w:tc>
          <w:tcPr>
            <w:tcW w:w="3689"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方正小标宋_GBK" w:hAnsi="方正小标宋_GBK" w:eastAsia="方正小标宋_GBK" w:cs="方正小标宋_GBK"/>
                <w:i w:val="0"/>
                <w:iCs w:val="0"/>
                <w:color w:val="000000"/>
                <w:kern w:val="0"/>
                <w:sz w:val="28"/>
                <w:szCs w:val="28"/>
                <w:u w:val="none"/>
                <w:lang w:val="en-US" w:eastAsia="zh-CN" w:bidi="ar"/>
              </w:rPr>
              <w:t>一、医院党建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以党建引领中医药  守正创新传承发展</w:t>
            </w:r>
          </w:p>
        </w:tc>
        <w:tc>
          <w:tcPr>
            <w:tcW w:w="368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洛阳市中医院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二、医院战略与运营管理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sz w:val="28"/>
                <w:szCs w:val="28"/>
                <w:u w:val="none"/>
              </w:rPr>
              <w:t>强化顶层设计 坚持改革创新 推动高质量发展</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sz w:val="28"/>
                <w:szCs w:val="28"/>
                <w:u w:val="none"/>
              </w:rPr>
              <w:t>青岛市市立医院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三、医院学科建设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多措并举 高质创新 学科猛进-以免疫治疗科为例</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四、智慧医院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入出院“一站式“服务模式实践</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南通大学附属医院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五、医院医疗质量安全管理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基于QFD方法的院内静脉血栓防治质量管理体系的构建</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东台市人民医院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六、医院经济运行与内控制度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智慧化日常运维费用月报管理体系建设</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秦皇岛市第一医院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七、医院绩效管理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基于业绩导向原则的医院综合绩效考核评价体系建设的探索与实践</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辽宁省健康产业集团本钢总医院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八、医院医保精细化管理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w:t>
            </w:r>
            <w:r>
              <w:rPr>
                <w:rFonts w:hint="default" w:ascii="Times New Roman" w:hAnsi="Times New Roman" w:eastAsia="仿宋_GB2312" w:cs="Times New Roman"/>
                <w:i w:val="0"/>
                <w:iCs w:val="0"/>
                <w:color w:val="000000"/>
                <w:kern w:val="0"/>
                <w:sz w:val="28"/>
                <w:szCs w:val="28"/>
                <w:u w:val="none"/>
                <w:lang w:val="en-US" w:eastAsia="zh-CN" w:bidi="ar"/>
              </w:rPr>
              <w:t>DRGs</w:t>
            </w:r>
            <w:r>
              <w:rPr>
                <w:rFonts w:hint="eastAsia" w:ascii="仿宋_GB2312" w:hAnsi="宋体" w:eastAsia="仿宋_GB2312" w:cs="仿宋_GB2312"/>
                <w:i w:val="0"/>
                <w:iCs w:val="0"/>
                <w:color w:val="000000"/>
                <w:kern w:val="0"/>
                <w:sz w:val="28"/>
                <w:szCs w:val="28"/>
                <w:u w:val="none"/>
                <w:lang w:val="en-US" w:eastAsia="zh-CN" w:bidi="ar"/>
              </w:rPr>
              <w:t>医保基金监管实践探索</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滨州医学院烟台附属医院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九、医院护理管理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多学科联动降低中心血管导管相关血流感染发生率</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十、医院人力资源管理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夹缝中三级公立医院“237”人才培养模式探讨与实践</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秦皇岛市第一医院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十一、医院文化建设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融合全媒体力量培育健康科普公益文化</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十二、医院后勤管理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全生命周期管理  —— 智慧医气建设的探索</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十三、医院媒体工作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以政策导向和百姓需求为指南的医院健康科普体系构建</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十四、医院药事管理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五大共享为赋能 ，药事联盟共发展</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十五、县域医共体建设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综合性公立医院管理“乡村化移植”之江山实践</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江山市人民医院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6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方正小标宋_GBK" w:hAnsi="方正小标宋_GBK" w:eastAsia="方正小标宋_GBK" w:cs="方正小标宋_GBK"/>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十六、医学教育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0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医学“鲲鹏”人才培训计划</w:t>
            </w:r>
          </w:p>
        </w:tc>
        <w:tc>
          <w:tcPr>
            <w:tcW w:w="36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莱州市妇幼保健院</w:t>
            </w:r>
          </w:p>
        </w:tc>
      </w:tr>
    </w:tbl>
    <w:p>
      <w:pPr>
        <w:pStyle w:val="3"/>
        <w:numPr>
          <w:ilvl w:val="0"/>
          <w:numId w:val="0"/>
        </w:numPr>
        <w:ind w:leftChars="0"/>
        <w:jc w:val="both"/>
        <w:rPr>
          <w:rFonts w:hint="eastAsia" w:ascii="方正小标宋_GBK" w:hAnsi="方正小标宋_GBK" w:eastAsia="方正小标宋_GBK" w:cs="方正小标宋_GBK"/>
          <w:i w:val="0"/>
          <w:iCs w:val="0"/>
          <w:color w:val="000000"/>
          <w:kern w:val="0"/>
          <w:sz w:val="44"/>
          <w:szCs w:val="44"/>
          <w:u w:val="none"/>
          <w:lang w:val="en-US" w:eastAsia="zh-CN" w:bidi="ar"/>
        </w:rPr>
        <w:sectPr>
          <w:footerReference r:id="rId6" w:type="default"/>
          <w:pgSz w:w="11906" w:h="16838"/>
          <w:pgMar w:top="1440" w:right="669" w:bottom="1440" w:left="669" w:header="851" w:footer="992" w:gutter="0"/>
          <w:pgNumType w:fmt="numberInDash"/>
          <w:cols w:space="425" w:num="1"/>
          <w:docGrid w:type="lines" w:linePitch="312" w:charSpace="0"/>
        </w:sectPr>
      </w:pPr>
    </w:p>
    <w:p>
      <w:pPr>
        <w:keepNext w:val="0"/>
        <w:keepLines w:val="0"/>
        <w:pageBreakBefore w:val="0"/>
        <w:widowControl w:val="0"/>
        <w:kinsoku/>
        <w:wordWrap/>
        <w:overflowPunct/>
        <w:topLinePunct w:val="0"/>
        <w:bidi w:val="0"/>
        <w:adjustRightInd/>
        <w:snapToGrid/>
        <w:spacing w:after="0" w:line="560" w:lineRule="exact"/>
        <w:jc w:val="center"/>
        <w:textAlignment w:val="auto"/>
        <w:rPr>
          <w:rFonts w:hint="eastAsia" w:ascii="Times New Roman" w:hAnsi="Times New Roman" w:eastAsia="方正小标宋_GBK" w:cs="Times New Roman"/>
          <w:sz w:val="44"/>
          <w:szCs w:val="44"/>
          <w:lang w:val="en-US" w:eastAsia="zh-CN"/>
        </w:rPr>
      </w:pPr>
      <w:r>
        <w:rPr>
          <w:rFonts w:hint="eastAsia" w:ascii="方正小标宋_GBK" w:hAnsi="方正小标宋_GBK" w:eastAsia="方正小标宋_GBK" w:cs="方正小标宋_GBK"/>
          <w:sz w:val="40"/>
          <w:szCs w:val="48"/>
          <w:lang w:val="en-US" w:eastAsia="zh-CN"/>
        </w:rPr>
        <w:t>2022年度中国现代医院管理</w:t>
      </w:r>
      <w:r>
        <w:rPr>
          <w:rFonts w:hint="default" w:ascii="Times New Roman" w:hAnsi="Times New Roman" w:eastAsia="方正小标宋_GBK" w:cs="Times New Roman"/>
          <w:sz w:val="44"/>
          <w:szCs w:val="44"/>
          <w:lang w:val="en-US" w:eastAsia="zh-CN"/>
        </w:rPr>
        <w:t>典型案例评选获</w:t>
      </w:r>
      <w:r>
        <w:rPr>
          <w:rFonts w:hint="eastAsia" w:ascii="Times New Roman" w:hAnsi="Times New Roman" w:eastAsia="方正小标宋_GBK" w:cs="Times New Roman"/>
          <w:sz w:val="44"/>
          <w:szCs w:val="44"/>
          <w:lang w:val="en-US" w:eastAsia="zh-CN"/>
        </w:rPr>
        <w:t>奖结果——典型案例示范单位</w:t>
      </w:r>
    </w:p>
    <w:p>
      <w:pPr>
        <w:pStyle w:val="2"/>
        <w:rPr>
          <w:rFonts w:hint="default"/>
          <w:lang w:eastAsia="zh-CN"/>
        </w:rPr>
      </w:pPr>
    </w:p>
    <w:tbl>
      <w:tblPr>
        <w:tblStyle w:val="6"/>
        <w:tblW w:w="8666" w:type="dxa"/>
        <w:jc w:val="center"/>
        <w:shd w:val="clear" w:color="auto" w:fill="auto"/>
        <w:tblLayout w:type="autofit"/>
        <w:tblCellMar>
          <w:top w:w="0" w:type="dxa"/>
          <w:left w:w="0" w:type="dxa"/>
          <w:bottom w:w="0" w:type="dxa"/>
          <w:right w:w="0" w:type="dxa"/>
        </w:tblCellMar>
      </w:tblPr>
      <w:tblGrid>
        <w:gridCol w:w="1080"/>
        <w:gridCol w:w="7586"/>
      </w:tblGrid>
      <w:tr>
        <w:tblPrEx>
          <w:shd w:val="clear" w:color="auto" w:fill="auto"/>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黑体" w:cs="Times New Roman"/>
                <w:i w:val="0"/>
                <w:color w:val="000000"/>
                <w:kern w:val="0"/>
                <w:sz w:val="28"/>
                <w:szCs w:val="28"/>
                <w:u w:val="none"/>
                <w:lang w:val="en-US" w:eastAsia="zh-CN" w:bidi="ar"/>
              </w:rPr>
            </w:pPr>
            <w:r>
              <w:rPr>
                <w:rFonts w:hint="default" w:ascii="Times New Roman" w:hAnsi="Times New Roman" w:eastAsia="黑体" w:cs="Times New Roman"/>
                <w:i w:val="0"/>
                <w:color w:val="000000"/>
                <w:kern w:val="0"/>
                <w:sz w:val="28"/>
                <w:szCs w:val="28"/>
                <w:u w:val="none"/>
                <w:lang w:val="en-US" w:eastAsia="zh-CN" w:bidi="ar"/>
              </w:rPr>
              <w:t>序号</w:t>
            </w:r>
          </w:p>
        </w:tc>
        <w:tc>
          <w:tcPr>
            <w:tcW w:w="7586"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黑体" w:cs="Times New Roman"/>
                <w:i w:val="0"/>
                <w:color w:val="000000"/>
                <w:kern w:val="0"/>
                <w:sz w:val="28"/>
                <w:szCs w:val="28"/>
                <w:u w:val="none"/>
                <w:lang w:val="en-US" w:eastAsia="zh-CN" w:bidi="ar"/>
              </w:rPr>
            </w:pPr>
            <w:r>
              <w:rPr>
                <w:rFonts w:hint="default" w:ascii="Times New Roman" w:hAnsi="Times New Roman" w:eastAsia="黑体" w:cs="Times New Roman"/>
                <w:i w:val="0"/>
                <w:color w:val="000000"/>
                <w:kern w:val="0"/>
                <w:sz w:val="28"/>
                <w:szCs w:val="28"/>
                <w:u w:val="none"/>
                <w:lang w:val="en-US" w:eastAsia="zh-CN" w:bidi="ar"/>
              </w:rPr>
              <w:t>单位</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1</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中山大学附属第一医院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2</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北京大学第一医院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3</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北京协和医院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eastAsia" w:ascii="Times New Roman" w:hAnsi="Times New Roman" w:eastAsia="仿宋_GB2312" w:cs="Times New Roman"/>
                <w:i w:val="0"/>
                <w:color w:val="000000"/>
                <w:kern w:val="0"/>
                <w:sz w:val="28"/>
                <w:szCs w:val="28"/>
                <w:u w:val="none"/>
                <w:lang w:val="en-US" w:eastAsia="zh-CN" w:bidi="ar"/>
              </w:rPr>
              <w:t>4</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北京大学第三医院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5</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复旦大学附属儿科医院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6</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广西医科大学第一附属医院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7</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eastAsia" w:ascii="Times New Roman" w:hAnsi="Times New Roman" w:eastAsia="仿宋_GB2312" w:cs="Times New Roman"/>
                <w:i w:val="0"/>
                <w:iCs w:val="0"/>
                <w:color w:val="000000"/>
                <w:kern w:val="0"/>
                <w:sz w:val="28"/>
                <w:szCs w:val="28"/>
                <w:u w:val="none"/>
                <w:lang w:val="en-US" w:eastAsia="zh-CN" w:bidi="ar"/>
              </w:rPr>
              <w:t>河南省肿瘤医院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8</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首都医科大学附属北京儿童医院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9</w:t>
            </w:r>
          </w:p>
        </w:tc>
        <w:tc>
          <w:tcPr>
            <w:tcW w:w="75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中国医学科学院血液病医院（中国医学科学院血液学研究所）</w:t>
            </w:r>
          </w:p>
        </w:tc>
      </w:tr>
    </w:tbl>
    <w:p>
      <w:pPr>
        <w:pStyle w:val="3"/>
        <w:numPr>
          <w:ilvl w:val="0"/>
          <w:numId w:val="0"/>
        </w:numPr>
        <w:ind w:leftChars="0"/>
        <w:jc w:val="both"/>
        <w:rPr>
          <w:rFonts w:hint="eastAsia" w:ascii="方正小标宋_GBK" w:hAnsi="方正小标宋_GBK" w:eastAsia="方正小标宋_GBK" w:cs="方正小标宋_GBK"/>
          <w:i w:val="0"/>
          <w:iCs w:val="0"/>
          <w:color w:val="000000"/>
          <w:kern w:val="0"/>
          <w:sz w:val="44"/>
          <w:szCs w:val="44"/>
          <w:u w:val="none"/>
          <w:lang w:val="en-US" w:eastAsia="zh-CN" w:bidi="ar"/>
        </w:rPr>
        <w:sectPr>
          <w:footerReference r:id="rId7" w:type="default"/>
          <w:pgSz w:w="11906" w:h="16838"/>
          <w:pgMar w:top="1440" w:right="669" w:bottom="1440" w:left="669" w:header="851" w:footer="992" w:gutter="0"/>
          <w:pgNumType w:fmt="numberInDash"/>
          <w:cols w:space="425" w:num="1"/>
          <w:docGrid w:type="lines" w:linePitch="312" w:charSpace="0"/>
        </w:sectPr>
      </w:pPr>
    </w:p>
    <w:p>
      <w:pPr>
        <w:keepNext w:val="0"/>
        <w:keepLines w:val="0"/>
        <w:pageBreakBefore w:val="0"/>
        <w:widowControl w:val="0"/>
        <w:kinsoku/>
        <w:wordWrap/>
        <w:overflowPunct/>
        <w:topLinePunct w:val="0"/>
        <w:bidi w:val="0"/>
        <w:adjustRightInd/>
        <w:snapToGrid/>
        <w:spacing w:after="0" w:line="560" w:lineRule="exact"/>
        <w:jc w:val="center"/>
        <w:textAlignment w:val="auto"/>
        <w:rPr>
          <w:rFonts w:hint="eastAsia" w:ascii="Times New Roman" w:hAnsi="Times New Roman" w:eastAsia="方正小标宋_GBK" w:cs="Times New Roman"/>
          <w:sz w:val="44"/>
          <w:szCs w:val="44"/>
          <w:lang w:val="en-US" w:eastAsia="zh-CN"/>
        </w:rPr>
      </w:pPr>
      <w:r>
        <w:rPr>
          <w:rFonts w:hint="eastAsia" w:ascii="方正小标宋_GBK" w:hAnsi="方正小标宋_GBK" w:eastAsia="方正小标宋_GBK" w:cs="方正小标宋_GBK"/>
          <w:sz w:val="40"/>
          <w:szCs w:val="48"/>
          <w:lang w:val="en-US" w:eastAsia="zh-CN"/>
        </w:rPr>
        <w:t>2022年度中国现代医院管理</w:t>
      </w:r>
      <w:r>
        <w:rPr>
          <w:rFonts w:hint="default" w:ascii="Times New Roman" w:hAnsi="Times New Roman" w:eastAsia="方正小标宋_GBK" w:cs="Times New Roman"/>
          <w:sz w:val="44"/>
          <w:szCs w:val="44"/>
          <w:lang w:val="en-US" w:eastAsia="zh-CN"/>
        </w:rPr>
        <w:t>典型案例评选获</w:t>
      </w:r>
      <w:r>
        <w:rPr>
          <w:rFonts w:hint="eastAsia" w:ascii="Times New Roman" w:hAnsi="Times New Roman" w:eastAsia="方正小标宋_GBK" w:cs="Times New Roman"/>
          <w:sz w:val="44"/>
          <w:szCs w:val="44"/>
          <w:lang w:val="en-US" w:eastAsia="zh-CN"/>
        </w:rPr>
        <w:t>奖结果——优秀案例</w:t>
      </w:r>
    </w:p>
    <w:p>
      <w:pPr>
        <w:pStyle w:val="2"/>
        <w:jc w:val="center"/>
        <w:rPr>
          <w:rFonts w:hint="eastAsia"/>
          <w:sz w:val="32"/>
          <w:szCs w:val="32"/>
          <w:lang w:val="en-US" w:eastAsia="zh-CN"/>
        </w:rPr>
      </w:pPr>
      <w:r>
        <w:rPr>
          <w:rFonts w:hint="eastAsia" w:ascii="方正小标宋_GBK" w:hAnsi="方正小标宋_GBK" w:eastAsia="方正小标宋_GBK" w:cs="方正小标宋_GBK"/>
          <w:i w:val="0"/>
          <w:iCs w:val="0"/>
          <w:color w:val="000000"/>
          <w:kern w:val="0"/>
          <w:sz w:val="32"/>
          <w:szCs w:val="32"/>
          <w:u w:val="none"/>
          <w:lang w:val="en-US" w:eastAsia="zh-CN" w:bidi="ar"/>
        </w:rPr>
        <w:t>一、医院党建</w:t>
      </w:r>
    </w:p>
    <w:tbl>
      <w:tblPr>
        <w:tblStyle w:val="6"/>
        <w:tblW w:w="162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8197"/>
        <w:gridCol w:w="73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8"/>
                <w:szCs w:val="28"/>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序号</w:t>
            </w:r>
          </w:p>
        </w:tc>
        <w:tc>
          <w:tcPr>
            <w:tcW w:w="8197"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pPr>
            <w: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t>案例名称</w:t>
            </w:r>
          </w:p>
        </w:tc>
        <w:tc>
          <w:tcPr>
            <w:tcW w:w="7314"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pPr>
            <w:r>
              <w:rPr>
                <w:rFonts w:hint="eastAsia" w:ascii="Times New Roman" w:hAnsi="Times New Roman" w:eastAsia="黑体" w:cs="Times New Roman"/>
                <w:b w:val="0"/>
                <w:bCs/>
                <w:i w:val="0"/>
                <w:color w:val="000000"/>
                <w:kern w:val="0"/>
                <w:sz w:val="28"/>
                <w:szCs w:val="28"/>
                <w:highlight w:val="none"/>
                <w:u w:val="none"/>
                <w:shd w:val="clear" w:color="auto" w:fill="auto"/>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1</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PDCA双循环模式下公立医院党委“保落实”运行机制研究</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同济大学附属第十人民医院（上海市第十人民医院）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数字赋能构建公立医院党风廉政建设网格化监管体系</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党建引领人文医院建设</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通用技术盘锦辽油宝石花医院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强化党建引领、健全乡村振兴帮扶工作机制，助推医院高质量发展</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构建“12345”党建工作体系,打造特色鲜明的高质量发展模式</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青岛大学附属妇女儿童医院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党建引领“三元整合”，纵深业务服务内涵</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运用PDCA工具推动 “学习强国”APP使用</w:t>
            </w:r>
          </w:p>
        </w:tc>
        <w:tc>
          <w:tcPr>
            <w:tcW w:w="7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枣庄市立医院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2"/>
        <w:numPr>
          <w:ilvl w:val="0"/>
          <w:numId w:val="0"/>
        </w:numPr>
        <w:ind w:leftChars="0"/>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二、医院战略与运营管理</w:t>
      </w:r>
    </w:p>
    <w:tbl>
      <w:tblPr>
        <w:tblStyle w:val="6"/>
        <w:tblW w:w="161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8235"/>
        <w:gridCol w:w="72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4"/>
                <w:szCs w:val="24"/>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序号</w:t>
            </w:r>
          </w:p>
        </w:tc>
        <w:tc>
          <w:tcPr>
            <w:tcW w:w="8235"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4"/>
                <w:szCs w:val="24"/>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案例名称</w:t>
            </w:r>
          </w:p>
        </w:tc>
        <w:tc>
          <w:tcPr>
            <w:tcW w:w="7227"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黑体" w:cs="Times New Roman"/>
                <w:b w:val="0"/>
                <w:bCs/>
                <w:i w:val="0"/>
                <w:color w:val="000000"/>
                <w:kern w:val="0"/>
                <w:sz w:val="24"/>
                <w:szCs w:val="24"/>
                <w:u w:val="none"/>
                <w:lang w:val="en-US" w:eastAsia="zh-CN" w:bidi="ar"/>
              </w:rPr>
            </w:pPr>
            <w:r>
              <w:rPr>
                <w:rFonts w:hint="eastAsia" w:ascii="Times New Roman" w:hAnsi="Times New Roman" w:eastAsia="黑体" w:cs="Times New Roman"/>
                <w:b w:val="0"/>
                <w:bCs/>
                <w:i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1</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院前服务集中管理在提升医院运营效率方面的研究与应用</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中南大学湘雅医院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国家儿童医学中心专科联盟建设的创新探索与实践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复旦大学附属儿科医院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3</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医院无纸化运营管理模式实践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浙江大学医学院附属邵逸夫医院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4</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以战略谋布局，推动医院高质量发展</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5</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基于DRG的临床科室COST-DEA模型成本效率管理策略研究</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6</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儿童肿瘤患儿双院区同质化治疗管理</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7</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招标同质化管理促多院区同频发展</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南京医科大学第一附属医院（江苏省人民医院）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8</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医院分级诊疗健康管理新模式</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四川大学华西第二医院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9</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立足一体化建设，实施12345战略，推动医院高质量发展</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中山大学附属第八医院（深圳福田）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10</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构建指标化管理体系，赋能运营精细化提质增效</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“7S”精益管理在现代医院管理中的创新实践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辽宁省健康产业集团本钢总医院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公立医院精细化运营管理实践探索</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广东医科大学附属医院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13</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项目成本精细运营在现代医院管理中的探索与实践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华北石油管理局总医院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14</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医院精细化运营管理探索与实践</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青岛市市立医院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15</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从“心”出发  共筑和谐</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南方医院赣州医院（赣州市人民医院）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16</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疫情常态化下的医院收费服务升级</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17</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基于平衡计分卡基层医院消化学科战略规划与实施</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永城市中心医院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18</w:t>
            </w:r>
          </w:p>
        </w:tc>
        <w:tc>
          <w:tcPr>
            <w:tcW w:w="8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构建健康中国战略下的共赢医共体</w:t>
            </w:r>
          </w:p>
        </w:tc>
        <w:tc>
          <w:tcPr>
            <w:tcW w:w="7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湖州市南浔区菱湖人民医院</w:t>
            </w:r>
          </w:p>
        </w:tc>
      </w:tr>
    </w:tbl>
    <w:p>
      <w:pPr>
        <w:pStyle w:val="3"/>
        <w:numPr>
          <w:ilvl w:val="0"/>
          <w:numId w:val="0"/>
        </w:numPr>
        <w:ind w:leftChars="0"/>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三、医院学科建设</w:t>
      </w:r>
    </w:p>
    <w:tbl>
      <w:tblPr>
        <w:tblStyle w:val="6"/>
        <w:tblW w:w="163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1"/>
        <w:gridCol w:w="8415"/>
        <w:gridCol w:w="72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1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213"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深化融通链接—实现科技创新平台与创新资源有机链接</w:t>
            </w:r>
          </w:p>
        </w:tc>
        <w:tc>
          <w:tcPr>
            <w:tcW w:w="7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基于DRG的临床学科高质量发展运营管理实践</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医院应急医疗设备调配中心管理案例</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南方医科大学南方医院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基于“区校共建”模式探索学科管理路径 助力研究型医院建设</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中山大学附属第八医院（深圳福田）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妇幼专科医院急诊院前院内救治大平台搭建</w:t>
            </w:r>
          </w:p>
        </w:tc>
        <w:tc>
          <w:tcPr>
            <w:tcW w:w="7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3"/>
        <w:numPr>
          <w:ilvl w:val="0"/>
          <w:numId w:val="0"/>
        </w:numPr>
        <w:ind w:leftChars="0"/>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四、智慧医院</w:t>
      </w:r>
    </w:p>
    <w:tbl>
      <w:tblPr>
        <w:tblStyle w:val="6"/>
        <w:tblW w:w="162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445"/>
        <w:gridCol w:w="70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4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18"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智慧居家心脏康复520新模式</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优化人机结合模式在PIVAS智慧运营中的应用</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南方医科大学珠江医院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健康教育处方在门诊电子病历系统信息化管理体系的研发及应用</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以健康为中心建设网上院区</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天津市肿瘤医院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天津市肿瘤医院智能化物资 全生命周期供应链管理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天津市肿瘤医院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全周期智能病案无纸化助力智慧医院管理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以信息化为支撑的“无现金医院”全流程精细化管理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青岛大学附属妇女儿童医院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“以患者为中心”智慧医院下的临床工作创新</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深圳市人民医院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基于云端电子数据的智慧管理模式助力全院血糖管理</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中南大学湘雅二医院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数字时代医务智慧管理平台建设</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中南大学湘雅二医院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软式内镜全程追溯及风险预警系统设计与应用</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广安门医院互联网医院本地化建设</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中国中医科学院广安门医院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13</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医院安全保卫智慧管理系统建设与应用</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中国医学科学院阜外医院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14</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信息化助力 构筑疫情防控智慧平台</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15</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5G 专网助力福田口岸和皇岗口岸核酸检测方舱实验室</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中山大学附属第八医院（深圳福田）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16</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区域电子陪护证系统助力疫情防控</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17</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智慧交互助力医院高质量发展</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乌鲁木齐友爱医院（系乌鲁木齐市妇幼保健院分院）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18</w:t>
            </w:r>
          </w:p>
        </w:tc>
        <w:tc>
          <w:tcPr>
            <w:tcW w:w="8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基于互联网+的一站式退费平台构建与实践</w:t>
            </w:r>
          </w:p>
        </w:tc>
        <w:tc>
          <w:tcPr>
            <w:tcW w:w="7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中山大学附属肿瘤医院</w:t>
            </w:r>
          </w:p>
        </w:tc>
      </w:tr>
    </w:tbl>
    <w:p>
      <w:pPr>
        <w:pStyle w:val="3"/>
        <w:numPr>
          <w:ilvl w:val="0"/>
          <w:numId w:val="0"/>
        </w:numPr>
        <w:ind w:left="588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五、医院医疗质量安全管理</w:t>
      </w:r>
    </w:p>
    <w:tbl>
      <w:tblPr>
        <w:tblStyle w:val="6"/>
        <w:tblW w:w="162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6"/>
        <w:gridCol w:w="8435"/>
        <w:gridCol w:w="7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3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4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 DRG 管理指标提高公立医院质量绩效的应用研究</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智慧化VTE防治体系构建</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一体化综合管理模式提升血液透析通路管控质量</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空军军医大学第二附属医院（唐都医院）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智慧孕产健康服务系统建设实践</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全生命周期视角下重症监护室医学装备警报安全管理实践</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基于全流程智能化的单病种闭环管理体系构建</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基于移动护理信息技术实施智能化闭环标本采集全流程管理</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中国医学科学院血液病医院（中国医学科学院血液学研究所）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提高病案首页主要诊断编码正确率实践</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南方医科大学珠江医院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基于儿童安全用药目标构建多元化药学服务模式</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青岛大学附属妇女儿童医院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基于项目管理构建消化内科日间手术多学科全程管理模式</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绵阳市中心医院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信息化建设助推单病种质量管理的落地落实</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东阿县人民医院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轮值模式下定点医院医疗梯队培训实践</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青岛大学附属妇女儿童医院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13</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整合型医院质量与安全管理平台建设与应用</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青岛市市立医院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14</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创新结算模式，畅通生命通道—信息化的急诊绿色通道再造在优化</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大连医科大学附属第二医院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15</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基于5G平台的NICU急危重症 转运救治体系构建</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16</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“五预PPAPS”模式助力吞咽障碍 患者全周期误吸预防</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17</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聚焦儿科门急诊输液管理—助推医院高质量发展</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18</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精益管理提高创伤中心患者救治效率</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北京市门头沟区医院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19</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疫情常态化防控下急诊-发热门诊一体化管理</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20</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基于信息化支持构建静脉血栓栓塞症规范化防治管理体系及其应用</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新疆医科大学第五附属医院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21</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智慧系统联合PDCA循环在Ⅰ类切口手术部位感染管理中的应用</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广西医科大学附属武鸣医院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22</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提高肿瘤科肿瘤治疗前 临床TNM分期评估率</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萍乡矿业集团有限责任公司总医院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23</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基于同质化管理的跨区域、跨院区 MDT诊疗模式探索实践</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青岛大学附属妇女儿童医院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24</w:t>
            </w:r>
          </w:p>
        </w:tc>
        <w:tc>
          <w:tcPr>
            <w:tcW w:w="8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构建急性心肌梗死患者便秘管理模式</w:t>
            </w:r>
          </w:p>
        </w:tc>
        <w:tc>
          <w:tcPr>
            <w:tcW w:w="7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宁波市第一医院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3"/>
        <w:numPr>
          <w:ilvl w:val="0"/>
          <w:numId w:val="0"/>
        </w:numPr>
        <w:ind w:left="588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六、医院经济运行与内控制度</w:t>
      </w:r>
    </w:p>
    <w:tbl>
      <w:tblPr>
        <w:tblStyle w:val="6"/>
        <w:tblW w:w="160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1"/>
        <w:gridCol w:w="8250"/>
        <w:gridCol w:w="7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5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77"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“8专+X”促医院经济运行提质增效</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四川大学华西第二医院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内控视角下多业务融合的合同管理信息系统构建与应用</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金华市中心医院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基于精细化管理理念的智慧财务报销系统</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基于价值医疗内部价格管理体系的探索</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中山大学肿瘤防治中心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以战略为导向的医院全面预算管理机制应用</w:t>
            </w:r>
          </w:p>
        </w:tc>
        <w:tc>
          <w:tcPr>
            <w:tcW w:w="7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四川大学华西第二医院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七、医院绩效管理</w:t>
      </w:r>
    </w:p>
    <w:tbl>
      <w:tblPr>
        <w:tblStyle w:val="6"/>
        <w:tblW w:w="160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1"/>
        <w:gridCol w:w="8265"/>
        <w:gridCol w:w="7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6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053"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绩效牵引赋能医院高质量发展</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福建医科大学孟超肝胆医院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基于价值医疗和DRG视角的医院精细化运营实践</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安徽医科大学第二附属医院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患者满意度测评与持续改进模式构建</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南方医科大学珠江医院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聚焦问题补短板 精准绩效促提升</w:t>
            </w:r>
          </w:p>
        </w:tc>
        <w:tc>
          <w:tcPr>
            <w:tcW w:w="7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首都医科大学附属北京妇产医院</w:t>
            </w:r>
          </w:p>
        </w:tc>
      </w:tr>
    </w:tbl>
    <w:p>
      <w:pP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br w:type="page"/>
      </w:r>
    </w:p>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八、医院医保精细化管理</w:t>
      </w:r>
    </w:p>
    <w:tbl>
      <w:tblPr>
        <w:tblStyle w:val="6"/>
        <w:tblW w:w="161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1"/>
        <w:gridCol w:w="8220"/>
        <w:gridCol w:w="71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22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127"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DRG/DIP精细化管理实践</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厦门大学附属第一医院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以实际消耗为基础提升临床路径质量的DRG成本核算</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福建医科大学孟超肝胆医院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医保智能管理系统助力医院高质量发展</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DRG付费模式下联合质控检查推进医保精细化管理</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海宁市中心医院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基于DRG数据分析的医院管理实践</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辽宁省肿瘤医院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创新医保服务模式 提升基金监管效能</w:t>
            </w:r>
          </w:p>
        </w:tc>
        <w:tc>
          <w:tcPr>
            <w:tcW w:w="7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新疆医科大学第五临床医学院（第五附属医院）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九、医院护理管理</w:t>
      </w:r>
    </w:p>
    <w:tbl>
      <w:tblPr>
        <w:tblStyle w:val="6"/>
        <w:tblW w:w="161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2"/>
        <w:gridCol w:w="8324"/>
        <w:gridCol w:w="7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324"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712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压力性损伤全周期闭环智慧系统管理实践</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建立共生理论专科护理联盟，构建老年患者照护新模式</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深圳市人民医院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两全模式，解决四问——陪伴老年髋关节置换术患者康复之路</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癌性爆发痛多学科规范化诊疗模式的构建与实践</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北京京煤集团总医院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4R危机管理理论在大规模核酸采集中的实践与成效</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绵阳市中心医院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肿瘤预防与康复的科普服务体系构建及推广应用</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基于Omaha理论帕金森冻结步态患者全程护理模式的构建</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空军军医大学第二附属医院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构建多学科协作护理模式助推脑卒中患者全生命周期管理</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永城市中心医院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精细化管理在发热门诊闭环管理中的应用</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w w:val="1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OKR模式在提升地市级医院护理人员创新力中的应用</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秦皇岛市第一医院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w w:val="1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提高癌痛患者疼痛评估正确率</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枣庄市立医院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w w:val="1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基于互联网+构建ISBAR交班模式降低护士术中交接班缺陷率</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空军军医大学第二附属医院（唐都医院）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13</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w w:val="1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降低MECT首台延迟率及接台延迟率</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淮北市精神（心理）卫生中心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14</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w w:val="1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急诊导航护士助力急诊急救多中心建设</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15</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w w:val="1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降低骨科患者术后尿潴留的发生率</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枣庄市立医院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16</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发挥中医优势，多措并举助推结直肠癌围手术期全程品质管理</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青岛市市立医院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17</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精细化管理在产科急危重症剖宫产手术流程创新中的应用</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首都医科大学附属北京妇产医院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18</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医联体内“互联网＋医疗＋护理” 区域联动的实践</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枣庄市立医院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19</w:t>
            </w:r>
          </w:p>
        </w:tc>
        <w:tc>
          <w:tcPr>
            <w:tcW w:w="8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“互联网+服务”，患者健康教育新模式</w:t>
            </w:r>
          </w:p>
        </w:tc>
        <w:tc>
          <w:tcPr>
            <w:tcW w:w="7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bl>
    <w:p>
      <w:p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十、医院人力资源管理</w:t>
      </w:r>
    </w:p>
    <w:tbl>
      <w:tblPr>
        <w:tblStyle w:val="6"/>
        <w:tblW w:w="160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9"/>
        <w:gridCol w:w="8604"/>
        <w:gridCol w:w="68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604"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16"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以亚专科带头人培养为抓手，推动医院专科建设提档升级</w:t>
            </w:r>
          </w:p>
        </w:tc>
        <w:tc>
          <w:tcPr>
            <w:tcW w:w="6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胜利油田中心医院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以双自主改革“一子落”，创人才工作高质量发展“满盘活”</w:t>
            </w:r>
          </w:p>
        </w:tc>
        <w:tc>
          <w:tcPr>
            <w:tcW w:w="6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山东中医药大学附属医院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实施业务科室目标量化考核，助力医院高质量发展</w:t>
            </w:r>
          </w:p>
        </w:tc>
        <w:tc>
          <w:tcPr>
            <w:tcW w:w="6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滨州医学院附属医院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十一、医院文化建设</w:t>
      </w:r>
    </w:p>
    <w:tbl>
      <w:tblPr>
        <w:tblStyle w:val="6"/>
        <w:tblW w:w="160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480"/>
        <w:gridCol w:w="6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80"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50"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以建家为抓手助力塑造温暖、和谐、向上的高质量发展医院文化典范</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北京大学第三医院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1+C+N，共建儿童友好医院</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青岛大学附属妇女儿童医院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优化用药指导清单，细节彰显人文关怀</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中国医学科学院阜外医院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加强党建引领 深化文化内涵 凝聚高质量发展合力</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吉林大学第一医院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以“家文化”引领医院文化建设</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长沙县第一人民医院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“五色花”公益助残助推医院“两环一心”文化建设</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苏州科技城医院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人文建设提升医院软实力</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永城市中心医院医疗健康集团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4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叙事护理助力人文医院建设，心理疗愈共促护患身心健康</w:t>
            </w:r>
          </w:p>
        </w:tc>
        <w:tc>
          <w:tcPr>
            <w:tcW w:w="6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四川省妇幼保健院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十二、医院后勤管理</w:t>
      </w:r>
    </w:p>
    <w:tbl>
      <w:tblPr>
        <w:tblStyle w:val="6"/>
        <w:tblW w:w="160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505"/>
        <w:gridCol w:w="67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0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79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智慧化水系统服务平台建设与运营</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河南省肿瘤医院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CT设备全生命周期精细化管理与实践</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南方医科大学南方医院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基于物联网和大数据平台的医疗设备全生命周期智慧监管探索</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台州市中心医院（台州学院附属医院）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基于智慧后勤数据的全成本核算应用实践</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秦皇岛市第一医院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基于人工智能算法的空调节能效率提升</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台州市中心医院（台州学院附属医院）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医院建设中生命支持系统同质化管理</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南方医科大学南方医院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医院医疗设备数字化管理转型探索</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新疆医科大学第五附属医院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医院安防体系建设实践</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国家电网公司北京电力医院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“质控PS十原则”在医院建设工程质量控制中的应用</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济宁市第一人民医院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医院危险化学品安全监管创新实践</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湘潭市中心医院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jc w:val="center"/>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w:t>
            </w:r>
          </w:p>
        </w:tc>
        <w:tc>
          <w:tcPr>
            <w:tcW w:w="8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优化压力蒸汽灭菌器运转的全流程</w:t>
            </w:r>
          </w:p>
        </w:tc>
        <w:tc>
          <w:tcPr>
            <w:tcW w:w="6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广东三九脑科医院</w:t>
            </w:r>
          </w:p>
        </w:tc>
      </w:tr>
    </w:tbl>
    <w:p>
      <w:p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十三、医院媒体工作</w:t>
      </w:r>
    </w:p>
    <w:tbl>
      <w:tblPr>
        <w:tblStyle w:val="6"/>
        <w:tblW w:w="160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2"/>
        <w:gridCol w:w="8584"/>
        <w:gridCol w:w="6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84"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1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基层医院媒体工作策略与实践</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绵竹市人民医院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公立医院医学科普大众化传播策略创新</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坚持以人民为中心，探索1+2+3+4+N+1的医院宣传新模式</w:t>
            </w:r>
          </w:p>
        </w:tc>
        <w:tc>
          <w:tcPr>
            <w:tcW w:w="6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咸阳市第一人民医院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十四、医院药事管理</w:t>
      </w:r>
    </w:p>
    <w:tbl>
      <w:tblPr>
        <w:tblStyle w:val="6"/>
        <w:tblW w:w="162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1"/>
        <w:gridCol w:w="8535"/>
        <w:gridCol w:w="6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35"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930" w:type="dxa"/>
            <w:tcBorders>
              <w:top w:val="single" w:color="000000" w:sz="4" w:space="0"/>
              <w:left w:val="single" w:color="000000" w:sz="4" w:space="0"/>
              <w:bottom w:val="single" w:color="000000"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基于药品临床综合评价的医疗机构药品遴选与目录优化新探索</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云南省第一人民医院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“5+2”药学人才培养推动学科高质量发展</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青岛大学附属妇女儿童医院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运用科学化管理工具提高医疗机构药品不良反应上报监测水平</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咸阳市第一人民医院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多维度促进抗菌药物合理化使用—全面降低抗菌药物使用强度</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西安市儿童医院（西安交通大学附属儿童医院）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5</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促转型，谋长效，立体探索抗菌药物临床应用全流程闭环化管理模式</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天津市肿瘤医院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6</w:t>
            </w:r>
          </w:p>
        </w:tc>
        <w:tc>
          <w:tcPr>
            <w:tcW w:w="8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建设智能静配中心提升医院药事服务水平</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山东中医药大学附属医院</w:t>
            </w:r>
          </w:p>
        </w:tc>
      </w:tr>
    </w:tbl>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sectPr>
          <w:footerReference r:id="rId8" w:type="default"/>
          <w:pgSz w:w="16838" w:h="11906" w:orient="landscape"/>
          <w:pgMar w:top="669" w:right="1440" w:bottom="669" w:left="1440" w:header="851" w:footer="992" w:gutter="0"/>
          <w:pgNumType w:fmt="numberInDash"/>
          <w:cols w:space="425" w:num="1"/>
          <w:docGrid w:type="lines" w:linePitch="312" w:charSpace="0"/>
        </w:sectPr>
      </w:pPr>
    </w:p>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十五、县域医共体建设</w:t>
      </w:r>
    </w:p>
    <w:tbl>
      <w:tblPr>
        <w:tblStyle w:val="6"/>
        <w:tblW w:w="161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8520"/>
        <w:gridCol w:w="68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520" w:type="dxa"/>
            <w:tcBorders>
              <w:top w:val="single" w:color="auto" w:sz="4" w:space="0"/>
              <w:left w:val="single" w:color="auto" w:sz="4" w:space="0"/>
              <w:bottom w:val="single" w:color="auto" w:sz="4" w:space="0"/>
              <w:right w:val="single" w:color="auto"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83" w:type="dxa"/>
            <w:tcBorders>
              <w:top w:val="single" w:color="auto" w:sz="4" w:space="0"/>
              <w:left w:val="single" w:color="auto" w:sz="4" w:space="0"/>
              <w:bottom w:val="single" w:color="auto" w:sz="4" w:space="0"/>
              <w:right w:val="single" w:color="auto"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赋能基层全科医师 助力县域医共体建设</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北京市密云区医院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以胸痛救治单元建设推动医联体发展</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荆门市第二人民医院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打造“1+1”&amp;“1带N ”  四级协同医疗服务体系</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绵竹市人民医院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区域协同救治高原胸痛中心急性STEMI患者</w:t>
            </w:r>
          </w:p>
        </w:tc>
        <w:tc>
          <w:tcPr>
            <w:tcW w:w="68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青海红十字医院</w:t>
            </w:r>
          </w:p>
        </w:tc>
      </w:tr>
    </w:tbl>
    <w:p>
      <w:pPr>
        <w:pStyle w:val="3"/>
        <w:numPr>
          <w:ilvl w:val="0"/>
          <w:numId w:val="0"/>
        </w:numPr>
        <w:jc w:val="center"/>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十六、医学教育</w:t>
      </w:r>
    </w:p>
    <w:tbl>
      <w:tblPr>
        <w:tblStyle w:val="6"/>
        <w:tblW w:w="161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6"/>
        <w:gridCol w:w="8490"/>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786"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8490"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案例名称</w:t>
            </w:r>
          </w:p>
        </w:tc>
        <w:tc>
          <w:tcPr>
            <w:tcW w:w="6842" w:type="dxa"/>
            <w:tcBorders>
              <w:top w:val="single" w:color="000000" w:sz="4" w:space="0"/>
              <w:left w:val="single" w:color="000000" w:sz="4" w:space="0"/>
              <w:bottom w:val="single" w:color="auto" w:sz="4" w:space="0"/>
              <w:right w:val="single" w:color="000000" w:sz="4" w:space="0"/>
            </w:tcBorders>
            <w:shd w:val="clear" w:color="auto" w:fill="BDD6EE"/>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以“器官-系统-功能”为中心， 建设骨科临床教学基地</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中山大学附属第八医院（深圳福田）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临床医学人才实践操作能力培养模式的建设与应用</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福建医科大学附属第一医院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住院医师规范化过程中融入思政教育的实践</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温州医科大学附属第一医院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84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疫情下O2O混合式教学模式的构建</w:t>
            </w:r>
          </w:p>
        </w:tc>
        <w:tc>
          <w:tcPr>
            <w:tcW w:w="6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咸阳市第一人民医院</w:t>
            </w:r>
          </w:p>
        </w:tc>
      </w:tr>
    </w:tbl>
    <w:p>
      <w:pPr>
        <w:pStyle w:val="3"/>
        <w:numPr>
          <w:ilvl w:val="0"/>
          <w:numId w:val="0"/>
        </w:numPr>
        <w:ind w:leftChars="0"/>
        <w:jc w:val="both"/>
        <w:rPr>
          <w:rFonts w:hint="eastAsia" w:ascii="方正小标宋_GBK" w:hAnsi="方正小标宋_GBK" w:eastAsia="方正小标宋_GBK" w:cs="方正小标宋_GBK"/>
          <w:i w:val="0"/>
          <w:iCs w:val="0"/>
          <w:color w:val="000000"/>
          <w:kern w:val="0"/>
          <w:sz w:val="44"/>
          <w:szCs w:val="44"/>
          <w:u w:val="none"/>
          <w:lang w:val="en-US" w:eastAsia="zh-CN" w:bidi="ar"/>
        </w:rPr>
        <w:sectPr>
          <w:footerReference r:id="rId9" w:type="default"/>
          <w:pgSz w:w="16838" w:h="11906" w:orient="landscape"/>
          <w:pgMar w:top="669" w:right="1440" w:bottom="669" w:left="1440" w:header="851" w:footer="992" w:gutter="0"/>
          <w:pgNumType w:fmt="numberInDash"/>
          <w:cols w:space="425" w:num="1"/>
          <w:docGrid w:type="lines" w:linePitch="312" w:charSpace="0"/>
        </w:sectPr>
      </w:pPr>
    </w:p>
    <w:p>
      <w:pPr>
        <w:keepNext w:val="0"/>
        <w:keepLines w:val="0"/>
        <w:pageBreakBefore w:val="0"/>
        <w:widowControl w:val="0"/>
        <w:kinsoku/>
        <w:wordWrap/>
        <w:overflowPunct/>
        <w:topLinePunct w:val="0"/>
        <w:bidi w:val="0"/>
        <w:adjustRightInd/>
        <w:snapToGrid/>
        <w:spacing w:after="0" w:line="560" w:lineRule="exact"/>
        <w:jc w:val="center"/>
        <w:textAlignment w:val="auto"/>
        <w:rPr>
          <w:rFonts w:hint="eastAsia" w:ascii="Times New Roman" w:hAnsi="Times New Roman" w:eastAsia="方正小标宋_GBK" w:cs="Times New Roman"/>
          <w:sz w:val="44"/>
          <w:szCs w:val="44"/>
          <w:lang w:val="en-US" w:eastAsia="zh-CN"/>
        </w:rPr>
      </w:pPr>
      <w:r>
        <w:rPr>
          <w:rFonts w:hint="eastAsia" w:ascii="方正小标宋_GBK" w:hAnsi="方正小标宋_GBK" w:eastAsia="方正小标宋_GBK" w:cs="方正小标宋_GBK"/>
          <w:sz w:val="40"/>
          <w:szCs w:val="48"/>
          <w:lang w:val="en-US" w:eastAsia="zh-CN"/>
        </w:rPr>
        <w:t>2022年度中国现代医院管理</w:t>
      </w:r>
      <w:r>
        <w:rPr>
          <w:rFonts w:hint="default" w:ascii="Times New Roman" w:hAnsi="Times New Roman" w:eastAsia="方正小标宋_GBK" w:cs="Times New Roman"/>
          <w:sz w:val="44"/>
          <w:szCs w:val="44"/>
          <w:lang w:val="en-US" w:eastAsia="zh-CN"/>
        </w:rPr>
        <w:t>典型案例评选获</w:t>
      </w:r>
      <w:r>
        <w:rPr>
          <w:rFonts w:hint="eastAsia" w:ascii="Times New Roman" w:hAnsi="Times New Roman" w:eastAsia="方正小标宋_GBK" w:cs="Times New Roman"/>
          <w:sz w:val="44"/>
          <w:szCs w:val="44"/>
          <w:lang w:val="en-US" w:eastAsia="zh-CN"/>
        </w:rPr>
        <w:t>奖结果——优秀组织单位</w:t>
      </w:r>
    </w:p>
    <w:p>
      <w:pPr>
        <w:pStyle w:val="2"/>
        <w:rPr>
          <w:rFonts w:hint="eastAsia"/>
          <w:lang w:val="en-US" w:eastAsia="zh-CN"/>
        </w:rPr>
      </w:pPr>
    </w:p>
    <w:tbl>
      <w:tblPr>
        <w:tblStyle w:val="6"/>
        <w:tblW w:w="8400" w:type="dxa"/>
        <w:jc w:val="center"/>
        <w:shd w:val="clear" w:color="auto" w:fill="auto"/>
        <w:tblLayout w:type="autofit"/>
        <w:tblCellMar>
          <w:top w:w="0" w:type="dxa"/>
          <w:left w:w="0" w:type="dxa"/>
          <w:bottom w:w="0" w:type="dxa"/>
          <w:right w:w="0" w:type="dxa"/>
        </w:tblCellMar>
      </w:tblPr>
      <w:tblGrid>
        <w:gridCol w:w="1080"/>
        <w:gridCol w:w="7320"/>
      </w:tblGrid>
      <w:tr>
        <w:tblPrEx>
          <w:shd w:val="clear" w:color="auto" w:fill="auto"/>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黑体" w:cs="Times New Roman"/>
                <w:i w:val="0"/>
                <w:color w:val="000000"/>
                <w:kern w:val="0"/>
                <w:sz w:val="28"/>
                <w:szCs w:val="28"/>
                <w:u w:val="none"/>
                <w:lang w:val="en-US" w:eastAsia="zh-CN" w:bidi="ar"/>
              </w:rPr>
            </w:pPr>
            <w:r>
              <w:rPr>
                <w:rFonts w:hint="default" w:ascii="Times New Roman" w:hAnsi="Times New Roman" w:eastAsia="黑体" w:cs="Times New Roman"/>
                <w:i w:val="0"/>
                <w:color w:val="000000"/>
                <w:kern w:val="0"/>
                <w:sz w:val="28"/>
                <w:szCs w:val="28"/>
                <w:u w:val="none"/>
                <w:lang w:val="en-US" w:eastAsia="zh-CN" w:bidi="ar"/>
              </w:rPr>
              <w:t>序号</w:t>
            </w:r>
          </w:p>
        </w:tc>
        <w:tc>
          <w:tcPr>
            <w:tcW w:w="7320" w:type="dxa"/>
            <w:tcBorders>
              <w:top w:val="single" w:color="000000" w:sz="4" w:space="0"/>
              <w:left w:val="single" w:color="000000" w:sz="4" w:space="0"/>
              <w:bottom w:val="single" w:color="000000" w:sz="4" w:space="0"/>
              <w:right w:val="single" w:color="000000" w:sz="4" w:space="0"/>
            </w:tcBorders>
            <w:shd w:val="clear" w:color="auto" w:fill="BDD6EE" w:themeFill="accent1" w:themeFillTint="66"/>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黑体" w:cs="Times New Roman"/>
                <w:i w:val="0"/>
                <w:color w:val="000000"/>
                <w:kern w:val="0"/>
                <w:sz w:val="28"/>
                <w:szCs w:val="28"/>
                <w:u w:val="none"/>
                <w:lang w:val="en-US" w:eastAsia="zh-CN" w:bidi="ar"/>
              </w:rPr>
            </w:pPr>
            <w:r>
              <w:rPr>
                <w:rFonts w:hint="default" w:ascii="Times New Roman" w:hAnsi="Times New Roman" w:eastAsia="黑体" w:cs="Times New Roman"/>
                <w:i w:val="0"/>
                <w:color w:val="000000"/>
                <w:kern w:val="0"/>
                <w:sz w:val="28"/>
                <w:szCs w:val="28"/>
                <w:u w:val="none"/>
                <w:lang w:val="en-US" w:eastAsia="zh-CN" w:bidi="ar"/>
              </w:rPr>
              <w:t>单位</w:t>
            </w:r>
          </w:p>
        </w:tc>
      </w:tr>
      <w:tr>
        <w:tblPrEx>
          <w:shd w:val="clear" w:color="auto" w:fill="auto"/>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四川省妇幼保健院</w:t>
            </w:r>
          </w:p>
        </w:tc>
      </w:tr>
      <w:tr>
        <w:tblPrEx>
          <w:shd w:val="clear" w:color="auto" w:fill="auto"/>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河南省肿瘤医院</w:t>
            </w:r>
          </w:p>
        </w:tc>
      </w:tr>
      <w:tr>
        <w:tblPrEx>
          <w:shd w:val="clear" w:color="auto" w:fill="auto"/>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金华市中心医院</w:t>
            </w:r>
          </w:p>
        </w:tc>
      </w:tr>
      <w:tr>
        <w:tblPrEx>
          <w:shd w:val="clear" w:color="auto" w:fill="auto"/>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中山大学附属第一医院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5</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青岛大学附属妇女儿童医院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6</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中山大学附属第八医院（深圳福田）</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7</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滨州医学院附属医院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8</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定西市第二人民医院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9</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广西医科大学第一附属医院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10</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秦皇岛市第一医院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11</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温州医科大学附属第一医院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12</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北京大学国际医院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13</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深圳市人民医院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14</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首都医科大学附属北京儿童医院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15</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新疆医科大学第五附属医院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16</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枣庄市立医院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17</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北京大学第三医院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18</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北京大学第一医院</w:t>
            </w:r>
          </w:p>
        </w:tc>
      </w:tr>
    </w:tbl>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sectPr>
          <w:footerReference r:id="rId10" w:type="default"/>
          <w:pgSz w:w="11906" w:h="16838"/>
          <w:pgMar w:top="1440" w:right="669" w:bottom="1440" w:left="669" w:header="851" w:footer="992" w:gutter="0"/>
          <w:pgNumType w:fmt="numberInDash"/>
          <w:cols w:space="425" w:num="1"/>
          <w:docGrid w:type="lines" w:linePitch="312" w:charSpace="0"/>
        </w:sectPr>
      </w:pPr>
    </w:p>
    <w:tbl>
      <w:tblPr>
        <w:tblStyle w:val="6"/>
        <w:tblW w:w="8400" w:type="dxa"/>
        <w:jc w:val="center"/>
        <w:shd w:val="clear" w:color="auto" w:fill="auto"/>
        <w:tblLayout w:type="autofit"/>
        <w:tblCellMar>
          <w:top w:w="0" w:type="dxa"/>
          <w:left w:w="0" w:type="dxa"/>
          <w:bottom w:w="0" w:type="dxa"/>
          <w:right w:w="0" w:type="dxa"/>
        </w:tblCellMar>
      </w:tblPr>
      <w:tblGrid>
        <w:gridCol w:w="1080"/>
        <w:gridCol w:w="7320"/>
      </w:tblGrid>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19</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咸阳市第一人民医院</w:t>
            </w:r>
          </w:p>
        </w:tc>
      </w:tr>
      <w:tr>
        <w:tblPrEx>
          <w:tblCellMar>
            <w:top w:w="0" w:type="dxa"/>
            <w:left w:w="0" w:type="dxa"/>
            <w:bottom w:w="0" w:type="dxa"/>
            <w:right w:w="0" w:type="dxa"/>
          </w:tblCellMar>
        </w:tblPrEx>
        <w:trPr>
          <w:trHeight w:val="46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eastAsia" w:ascii="Times New Roman" w:hAnsi="Times New Roman" w:eastAsia="仿宋_GB2312" w:cs="Times New Roman"/>
                <w:i w:val="0"/>
                <w:color w:val="000000"/>
                <w:kern w:val="0"/>
                <w:sz w:val="28"/>
                <w:szCs w:val="28"/>
                <w:u w:val="none"/>
                <w:lang w:val="en-US" w:eastAsia="zh-CN" w:bidi="ar"/>
              </w:rPr>
              <w:t>20</w:t>
            </w:r>
          </w:p>
        </w:tc>
        <w:tc>
          <w:tcPr>
            <w:tcW w:w="7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center"/>
              <w:rPr>
                <w:rFonts w:hint="eastAsia"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浙江大学医学院附属邵逸夫医院</w:t>
            </w:r>
          </w:p>
        </w:tc>
      </w:tr>
    </w:tbl>
    <w:p>
      <w:pPr>
        <w:pStyle w:val="3"/>
        <w:numPr>
          <w:ilvl w:val="0"/>
          <w:numId w:val="0"/>
        </w:numPr>
        <w:ind w:leftChars="0"/>
        <w:jc w:val="both"/>
        <w:rPr>
          <w:rFonts w:hint="eastAsia" w:ascii="方正小标宋_GBK" w:hAnsi="方正小标宋_GBK" w:eastAsia="方正小标宋_GBK" w:cs="方正小标宋_GBK"/>
          <w:i w:val="0"/>
          <w:iCs w:val="0"/>
          <w:color w:val="000000"/>
          <w:kern w:val="0"/>
          <w:sz w:val="44"/>
          <w:szCs w:val="44"/>
          <w:u w:val="none"/>
          <w:lang w:val="en-US" w:eastAsia="zh-CN" w:bidi="ar"/>
        </w:rPr>
      </w:pPr>
    </w:p>
    <w:p>
      <w:pPr>
        <w:pStyle w:val="2"/>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 xml:space="preserve">   </w:t>
      </w:r>
      <w:r>
        <w:rPr>
          <w:rFonts w:hint="default" w:ascii="Times New Roman" w:hAnsi="Times New Roman" w:eastAsia="仿宋_GB2312" w:cs="Times New Roman"/>
          <w:color w:val="333333"/>
          <w:sz w:val="28"/>
          <w:szCs w:val="28"/>
          <w:lang w:val="en-US" w:eastAsia="zh-CN"/>
        </w:rPr>
        <w:t xml:space="preserve">                                   </w:t>
      </w:r>
      <w:r>
        <w:rPr>
          <w:rFonts w:hint="default" w:ascii="Times New Roman" w:hAnsi="Times New Roman" w:eastAsia="仿宋_GB2312" w:cs="Times New Roman"/>
          <w:color w:val="333333"/>
          <w:sz w:val="28"/>
          <w:szCs w:val="28"/>
        </w:rPr>
        <w:t xml:space="preserve">   </w:t>
      </w:r>
    </w:p>
    <w:p>
      <w:pPr>
        <w:pStyle w:val="3"/>
        <w:rPr>
          <w:rFonts w:hint="default" w:ascii="Times New Roman" w:hAnsi="Times New Roman" w:eastAsia="仿宋_GB2312" w:cs="Times New Roman"/>
          <w:color w:val="333333"/>
          <w:sz w:val="28"/>
          <w:szCs w:val="28"/>
        </w:rPr>
      </w:pPr>
    </w:p>
    <w:p>
      <w:pPr>
        <w:pStyle w:val="3"/>
        <w:rPr>
          <w:rFonts w:hint="default" w:ascii="Times New Roman" w:hAnsi="Times New Roman" w:eastAsia="仿宋_GB2312" w:cs="Times New Roman"/>
          <w:color w:val="333333"/>
          <w:sz w:val="28"/>
          <w:szCs w:val="28"/>
        </w:rPr>
      </w:pPr>
    </w:p>
    <w:tbl>
      <w:tblPr>
        <w:tblStyle w:val="6"/>
        <w:tblpPr w:leftFromText="180" w:rightFromText="180" w:vertAnchor="text" w:horzAnchor="page" w:tblpX="1304" w:tblpY="7180"/>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468" w:type="dxa"/>
            <w:tcBorders>
              <w:left w:val="nil"/>
              <w:right w:val="nil"/>
            </w:tcBorders>
            <w:vAlign w:val="center"/>
          </w:tcPr>
          <w:p>
            <w:pPr>
              <w:adjustRightInd w:val="0"/>
              <w:snapToGrid w:val="0"/>
              <w:rPr>
                <w:rFonts w:hint="default" w:ascii="Times New Roman" w:hAnsi="Times New Roman" w:eastAsia="仿宋_GB2312" w:cs="Times New Roman"/>
                <w:color w:val="000000"/>
                <w:sz w:val="28"/>
                <w:szCs w:val="28"/>
              </w:rPr>
            </w:pPr>
            <w:r>
              <w:rPr>
                <w:rFonts w:hint="eastAsia" w:ascii="仿宋_GB2312" w:hAnsi="仿宋_GB2312" w:eastAsia="仿宋_GB2312" w:cs="仿宋_GB2312"/>
                <w:color w:val="000000"/>
                <w:sz w:val="21"/>
                <w:szCs w:val="21"/>
              </w:rPr>
              <w:t>国家卫生健康委能力建设和继续教育中心</w:t>
            </w:r>
            <w:r>
              <w:rPr>
                <w:rFonts w:hint="eastAsia" w:ascii="仿宋_GB2312" w:hAnsi="仿宋_GB2312" w:eastAsia="仿宋_GB2312" w:cs="仿宋_GB2312"/>
                <w:color w:val="000000"/>
                <w:sz w:val="21"/>
                <w:szCs w:val="21"/>
                <w:lang w:eastAsia="zh-CN"/>
              </w:rPr>
              <w:t>现代医院管理能力建设办公室</w:t>
            </w:r>
            <w:r>
              <w:rPr>
                <w:rFonts w:hint="eastAsia" w:ascii="仿宋_GB2312" w:hAnsi="仿宋_GB2312" w:eastAsia="仿宋_GB2312" w:cs="仿宋_GB2312"/>
                <w:color w:val="000000"/>
                <w:sz w:val="21"/>
                <w:szCs w:val="21"/>
              </w:rPr>
              <w:t xml:space="preserve"> </w:t>
            </w:r>
            <w:r>
              <w:rPr>
                <w:rFonts w:hint="eastAsia" w:ascii="仿宋_GB2312" w:hAnsi="仿宋_GB2312" w:eastAsia="仿宋_GB2312" w:cs="仿宋_GB2312"/>
                <w:color w:val="000000"/>
                <w:sz w:val="21"/>
                <w:szCs w:val="21"/>
                <w:lang w:val="en-US" w:eastAsia="zh-CN"/>
              </w:rPr>
              <w:t xml:space="preserve">      </w:t>
            </w:r>
            <w:r>
              <w:rPr>
                <w:rFonts w:hint="eastAsia" w:ascii="仿宋_GB2312" w:hAnsi="仿宋_GB2312" w:eastAsia="仿宋_GB2312" w:cs="仿宋_GB2312"/>
                <w:color w:val="000000"/>
                <w:sz w:val="21"/>
                <w:szCs w:val="21"/>
              </w:rPr>
              <w:t>202</w:t>
            </w:r>
            <w:r>
              <w:rPr>
                <w:rFonts w:hint="eastAsia" w:ascii="仿宋_GB2312" w:hAnsi="仿宋_GB2312" w:eastAsia="仿宋_GB2312" w:cs="仿宋_GB2312"/>
                <w:color w:val="000000"/>
                <w:sz w:val="21"/>
                <w:szCs w:val="21"/>
                <w:lang w:val="en-US" w:eastAsia="zh-CN"/>
              </w:rPr>
              <w:t>3</w:t>
            </w:r>
            <w:r>
              <w:rPr>
                <w:rFonts w:hint="eastAsia" w:ascii="仿宋_GB2312" w:hAnsi="仿宋_GB2312" w:eastAsia="仿宋_GB2312" w:cs="仿宋_GB2312"/>
                <w:color w:val="000000"/>
                <w:sz w:val="21"/>
                <w:szCs w:val="21"/>
              </w:rPr>
              <w:t>年</w:t>
            </w:r>
            <w:r>
              <w:rPr>
                <w:rFonts w:hint="eastAsia" w:ascii="仿宋_GB2312" w:hAnsi="仿宋_GB2312" w:eastAsia="仿宋_GB2312" w:cs="仿宋_GB2312"/>
                <w:color w:val="000000"/>
                <w:sz w:val="21"/>
                <w:szCs w:val="21"/>
                <w:lang w:val="en-US" w:eastAsia="zh-CN"/>
              </w:rPr>
              <w:t>2</w:t>
            </w:r>
            <w:r>
              <w:rPr>
                <w:rFonts w:hint="eastAsia" w:ascii="仿宋_GB2312" w:hAnsi="仿宋_GB2312" w:eastAsia="仿宋_GB2312" w:cs="仿宋_GB2312"/>
                <w:color w:val="000000"/>
                <w:sz w:val="21"/>
                <w:szCs w:val="21"/>
              </w:rPr>
              <w:t>月</w:t>
            </w:r>
            <w:r>
              <w:rPr>
                <w:rFonts w:hint="eastAsia" w:ascii="仿宋_GB2312" w:hAnsi="仿宋_GB2312" w:eastAsia="仿宋_GB2312" w:cs="仿宋_GB2312"/>
                <w:color w:val="000000"/>
                <w:sz w:val="21"/>
                <w:szCs w:val="21"/>
                <w:lang w:val="en-US" w:eastAsia="zh-CN"/>
              </w:rPr>
              <w:t>16</w:t>
            </w:r>
            <w:r>
              <w:rPr>
                <w:rFonts w:hint="eastAsia" w:ascii="仿宋_GB2312" w:hAnsi="仿宋_GB2312" w:eastAsia="仿宋_GB2312" w:cs="仿宋_GB2312"/>
                <w:color w:val="000000"/>
                <w:sz w:val="21"/>
                <w:szCs w:val="21"/>
              </w:rPr>
              <w:t>日印发</w:t>
            </w:r>
          </w:p>
        </w:tc>
      </w:tr>
    </w:tbl>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jc w:val="both"/>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right"/>
        <w:rPr>
          <w:rFonts w:hint="eastAsia" w:ascii="Times New Roman" w:hAnsi="Times New Roman" w:eastAsia="仿宋_GB2312" w:cs="Times New Roman"/>
          <w:color w:val="333333"/>
          <w:sz w:val="28"/>
          <w:szCs w:val="28"/>
          <w:lang w:val="en-US" w:eastAsia="zh-CN"/>
        </w:rPr>
      </w:pPr>
    </w:p>
    <w:p>
      <w:pPr>
        <w:pStyle w:val="3"/>
        <w:wordWrap w:val="0"/>
        <w:jc w:val="center"/>
        <w:rPr>
          <w:rFonts w:hint="default" w:ascii="Times New Roman" w:hAnsi="Times New Roman" w:eastAsia="仿宋_GB2312" w:cs="Times New Roman"/>
          <w:color w:val="333333"/>
          <w:sz w:val="28"/>
          <w:szCs w:val="28"/>
          <w:lang w:val="en-US" w:eastAsia="zh-CN"/>
        </w:rPr>
      </w:pPr>
      <w:r>
        <w:rPr>
          <w:rFonts w:hint="eastAsia" w:ascii="Times New Roman" w:hAnsi="Times New Roman" w:eastAsia="仿宋_GB2312" w:cs="Times New Roman"/>
          <w:color w:val="333333"/>
          <w:sz w:val="28"/>
          <w:szCs w:val="28"/>
          <w:lang w:val="en-US" w:eastAsia="zh-CN"/>
        </w:rPr>
        <w:t xml:space="preserve">                                                        </w:t>
      </w:r>
      <w:r>
        <w:rPr>
          <w:rFonts w:hint="default" w:ascii="Times New Roman" w:hAnsi="Times New Roman" w:eastAsia="仿宋_GB2312" w:cs="Times New Roman"/>
          <w:color w:val="333333"/>
          <w:sz w:val="28"/>
          <w:szCs w:val="28"/>
        </w:rPr>
        <w:t>校对：</w:t>
      </w:r>
      <w:r>
        <w:rPr>
          <w:rFonts w:hint="eastAsia" w:ascii="Times New Roman" w:hAnsi="Times New Roman" w:eastAsia="仿宋_GB2312" w:cs="Times New Roman"/>
          <w:color w:val="333333"/>
          <w:sz w:val="28"/>
          <w:szCs w:val="28"/>
          <w:lang w:eastAsia="zh-CN"/>
        </w:rPr>
        <w:t>周婷</w:t>
      </w:r>
      <w:r>
        <w:rPr>
          <w:rFonts w:hint="default" w:ascii="Times New Roman" w:hAnsi="Times New Roman" w:eastAsia="仿宋_GB2312" w:cs="Times New Roman"/>
          <w:color w:val="333333"/>
          <w:sz w:val="28"/>
          <w:szCs w:val="28"/>
        </w:rPr>
        <w:t xml:space="preserve"> </w:t>
      </w:r>
      <w:r>
        <w:rPr>
          <w:rFonts w:hint="eastAsia" w:ascii="Times New Roman" w:hAnsi="Times New Roman" w:eastAsia="仿宋_GB2312" w:cs="Times New Roman"/>
          <w:color w:val="333333"/>
          <w:sz w:val="28"/>
          <w:szCs w:val="28"/>
          <w:lang w:val="en-US" w:eastAsia="zh-CN"/>
        </w:rPr>
        <w:t xml:space="preserve">     </w:t>
      </w:r>
    </w:p>
    <w:sectPr>
      <w:footerReference r:id="rId11" w:type="default"/>
      <w:pgSz w:w="11906" w:h="16838"/>
      <w:pgMar w:top="1440" w:right="669" w:bottom="1440" w:left="66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310FF51-39F6-4D4A-97E3-9FEBF5516740}"/>
  </w:font>
  <w:font w:name="Arial">
    <w:panose1 w:val="020B0604020202020204"/>
    <w:charset w:val="01"/>
    <w:family w:val="swiss"/>
    <w:pitch w:val="default"/>
    <w:sig w:usb0="E0002AFF" w:usb1="C0007843" w:usb2="00000009" w:usb3="00000000" w:csb0="400001FF" w:csb1="FFFF0000"/>
    <w:embedRegular r:id="rId2" w:fontKey="{1CEE025A-6DE5-4E80-B71F-178BE99FB225}"/>
  </w:font>
  <w:font w:name="黑体">
    <w:panose1 w:val="02010609060101010101"/>
    <w:charset w:val="86"/>
    <w:family w:val="auto"/>
    <w:pitch w:val="default"/>
    <w:sig w:usb0="800002BF" w:usb1="38CF7CFA" w:usb2="00000016" w:usb3="00000000" w:csb0="00040001" w:csb1="00000000"/>
    <w:embedRegular r:id="rId3" w:fontKey="{1E4481E8-7804-453D-9135-F5DFDFE5AB3A}"/>
  </w:font>
  <w:font w:name="Courier New">
    <w:panose1 w:val="02070309020205020404"/>
    <w:charset w:val="01"/>
    <w:family w:val="modern"/>
    <w:pitch w:val="default"/>
    <w:sig w:usb0="E0002AFF" w:usb1="C0007843" w:usb2="00000009" w:usb3="00000000" w:csb0="400001FF" w:csb1="FFFF0000"/>
    <w:embedRegular r:id="rId4" w:fontKey="{B553BC90-5A5F-4ED0-857A-7BAFF482B3F9}"/>
  </w:font>
  <w:font w:name="Symbol">
    <w:panose1 w:val="05050102010706020507"/>
    <w:charset w:val="02"/>
    <w:family w:val="roman"/>
    <w:pitch w:val="default"/>
    <w:sig w:usb0="00000000" w:usb1="00000000" w:usb2="00000000" w:usb3="00000000" w:csb0="80000000" w:csb1="00000000"/>
    <w:embedRegular r:id="rId5" w:fontKey="{FDC30670-BAAE-46F6-BD64-102A8033B627}"/>
  </w:font>
  <w:font w:name="Calibri">
    <w:panose1 w:val="020F0502020204030204"/>
    <w:charset w:val="00"/>
    <w:family w:val="swiss"/>
    <w:pitch w:val="default"/>
    <w:sig w:usb0="E00002FF" w:usb1="4000ACFF" w:usb2="00000001" w:usb3="00000000" w:csb0="2000019F" w:csb1="00000000"/>
    <w:embedRegular r:id="rId6" w:fontKey="{991C704A-C641-42BF-98A0-1F6F542481E1}"/>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7" w:fontKey="{A0802C06-9271-4AE8-ADAA-40657C3E1ABE}"/>
  </w:font>
  <w:font w:name="方正小标宋_GBK">
    <w:panose1 w:val="03000509000000000000"/>
    <w:charset w:val="86"/>
    <w:family w:val="script"/>
    <w:pitch w:val="default"/>
    <w:sig w:usb0="00000001" w:usb1="080E0000" w:usb2="00000000" w:usb3="00000000" w:csb0="00040000" w:csb1="00000000"/>
    <w:embedRegular r:id="rId8" w:fontKey="{AD7622CF-7152-4511-B33E-36F215C06665}"/>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- 20 -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- 22 -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- 23 -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- 23 -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- 37 -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- 37 -</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- 39 -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- 40 -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63ACE9"/>
    <w:multiLevelType w:val="singleLevel"/>
    <w:tmpl w:val="5763ACE9"/>
    <w:lvl w:ilvl="0" w:tentative="0">
      <w:start w:val="2"/>
      <w:numFmt w:val="chineseCounting"/>
      <w:suff w:val="nothing"/>
      <w:lvlText w:val="%1、"/>
      <w:lvlJc w:val="left"/>
      <w:pPr>
        <w:ind w:left="84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RlNzc0ZTNlYjI4NDVkMGQzNWJlMWVkOGRhYTZkZDkifQ=="/>
  </w:docVars>
  <w:rsids>
    <w:rsidRoot w:val="0011638B"/>
    <w:rsid w:val="00065C92"/>
    <w:rsid w:val="0011638B"/>
    <w:rsid w:val="00147BB5"/>
    <w:rsid w:val="00403755"/>
    <w:rsid w:val="004D2C7D"/>
    <w:rsid w:val="005B6A6F"/>
    <w:rsid w:val="005D3BC0"/>
    <w:rsid w:val="005E394D"/>
    <w:rsid w:val="00891B0C"/>
    <w:rsid w:val="009D3C26"/>
    <w:rsid w:val="00C054F6"/>
    <w:rsid w:val="00CB1759"/>
    <w:rsid w:val="00EE1554"/>
    <w:rsid w:val="00FC3880"/>
    <w:rsid w:val="017C49B1"/>
    <w:rsid w:val="034059B6"/>
    <w:rsid w:val="03726FE6"/>
    <w:rsid w:val="052F4A1A"/>
    <w:rsid w:val="05342B9A"/>
    <w:rsid w:val="087119E8"/>
    <w:rsid w:val="0A4F7A3F"/>
    <w:rsid w:val="0CA90824"/>
    <w:rsid w:val="0D520B90"/>
    <w:rsid w:val="0D956F28"/>
    <w:rsid w:val="0E8E7CC6"/>
    <w:rsid w:val="0EE80D6B"/>
    <w:rsid w:val="0FC171D9"/>
    <w:rsid w:val="1031783E"/>
    <w:rsid w:val="104268AA"/>
    <w:rsid w:val="17005466"/>
    <w:rsid w:val="17FE0C4C"/>
    <w:rsid w:val="1B4A3CA9"/>
    <w:rsid w:val="1E582573"/>
    <w:rsid w:val="1E5F6730"/>
    <w:rsid w:val="1E9439BE"/>
    <w:rsid w:val="20651287"/>
    <w:rsid w:val="215A7DD2"/>
    <w:rsid w:val="227210AE"/>
    <w:rsid w:val="22E84E78"/>
    <w:rsid w:val="2353781F"/>
    <w:rsid w:val="255C379F"/>
    <w:rsid w:val="267B6D36"/>
    <w:rsid w:val="27CB0600"/>
    <w:rsid w:val="29171EEA"/>
    <w:rsid w:val="2AEB5AC9"/>
    <w:rsid w:val="2B006EB2"/>
    <w:rsid w:val="2CA74418"/>
    <w:rsid w:val="2DB01145"/>
    <w:rsid w:val="2F5A7C80"/>
    <w:rsid w:val="2FC92024"/>
    <w:rsid w:val="32014EE9"/>
    <w:rsid w:val="321F0CBB"/>
    <w:rsid w:val="32C0563B"/>
    <w:rsid w:val="335B0206"/>
    <w:rsid w:val="35B12D5D"/>
    <w:rsid w:val="39586B2D"/>
    <w:rsid w:val="415355C7"/>
    <w:rsid w:val="41E16A6A"/>
    <w:rsid w:val="45402AEA"/>
    <w:rsid w:val="455A5BF6"/>
    <w:rsid w:val="473C4AC6"/>
    <w:rsid w:val="48E01B44"/>
    <w:rsid w:val="494B518C"/>
    <w:rsid w:val="4B8C46F7"/>
    <w:rsid w:val="4BB84788"/>
    <w:rsid w:val="4C070B67"/>
    <w:rsid w:val="4D8632D1"/>
    <w:rsid w:val="4E3E7ABD"/>
    <w:rsid w:val="4ECF313E"/>
    <w:rsid w:val="4F537D94"/>
    <w:rsid w:val="4F93036A"/>
    <w:rsid w:val="507058BB"/>
    <w:rsid w:val="50A35AAC"/>
    <w:rsid w:val="511B6F22"/>
    <w:rsid w:val="53FD249E"/>
    <w:rsid w:val="54F97B6E"/>
    <w:rsid w:val="56B52696"/>
    <w:rsid w:val="57D31B9A"/>
    <w:rsid w:val="596B54CE"/>
    <w:rsid w:val="59AA20B0"/>
    <w:rsid w:val="5B925CA0"/>
    <w:rsid w:val="5BF33707"/>
    <w:rsid w:val="5C5A14CE"/>
    <w:rsid w:val="5CC12521"/>
    <w:rsid w:val="5D6F48E1"/>
    <w:rsid w:val="5FEB0458"/>
    <w:rsid w:val="60274C9E"/>
    <w:rsid w:val="60EB19DD"/>
    <w:rsid w:val="62255EA3"/>
    <w:rsid w:val="64173506"/>
    <w:rsid w:val="65E00CEA"/>
    <w:rsid w:val="69E71EB0"/>
    <w:rsid w:val="6B953B90"/>
    <w:rsid w:val="6C4E0849"/>
    <w:rsid w:val="6E3B267F"/>
    <w:rsid w:val="6FD87068"/>
    <w:rsid w:val="6FE3096F"/>
    <w:rsid w:val="74393191"/>
    <w:rsid w:val="74D0134F"/>
    <w:rsid w:val="77733E69"/>
    <w:rsid w:val="77824F22"/>
    <w:rsid w:val="7DA74683"/>
    <w:rsid w:val="7E7A51D1"/>
    <w:rsid w:val="7F066F82"/>
    <w:rsid w:val="7F5D7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Calibri" w:hAnsi="Calibri" w:eastAsia="仿宋"/>
      <w:kern w:val="0"/>
      <w:sz w:val="24"/>
      <w:szCs w:val="20"/>
      <w:lang w:eastAsia="en-US"/>
    </w:rPr>
  </w:style>
  <w:style w:type="paragraph" w:styleId="3">
    <w:name w:val="Body Text"/>
    <w:basedOn w:val="1"/>
    <w:qFormat/>
    <w:uiPriority w:val="1"/>
    <w:rPr>
      <w:rFonts w:ascii="仿宋" w:hAnsi="仿宋" w:eastAsia="仿宋" w:cs="仿宋"/>
      <w:sz w:val="30"/>
      <w:szCs w:val="30"/>
      <w:lang w:val="zh-CN" w:bidi="zh-CN"/>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8"/>
      <w:szCs w:val="28"/>
      <w:u w:val="none"/>
    </w:rPr>
  </w:style>
  <w:style w:type="character" w:customStyle="1" w:styleId="10">
    <w:name w:val="font11"/>
    <w:basedOn w:val="8"/>
    <w:qFormat/>
    <w:uiPriority w:val="0"/>
    <w:rPr>
      <w:rFonts w:hint="eastAsia" w:ascii="仿宋_GB2312" w:eastAsia="仿宋_GB2312" w:cs="仿宋_GB2312"/>
      <w:color w:val="000000"/>
      <w:sz w:val="36"/>
      <w:szCs w:val="36"/>
      <w:u w:val="none"/>
    </w:rPr>
  </w:style>
  <w:style w:type="character" w:customStyle="1" w:styleId="11">
    <w:name w:val="font21"/>
    <w:basedOn w:val="8"/>
    <w:qFormat/>
    <w:uiPriority w:val="0"/>
    <w:rPr>
      <w:rFonts w:hint="eastAsia" w:ascii="仿宋_GB2312" w:eastAsia="仿宋_GB2312" w:cs="仿宋_GB2312"/>
      <w:color w:val="000000"/>
      <w:sz w:val="36"/>
      <w:szCs w:val="36"/>
      <w:u w:val="none"/>
    </w:rPr>
  </w:style>
  <w:style w:type="character" w:customStyle="1" w:styleId="12">
    <w:name w:val="font01"/>
    <w:basedOn w:val="8"/>
    <w:qFormat/>
    <w:uiPriority w:val="0"/>
    <w:rPr>
      <w:rFonts w:hint="default" w:ascii="Times New Roman" w:hAnsi="Times New Roman" w:cs="Times New Roman"/>
      <w:color w:val="000000"/>
      <w:sz w:val="28"/>
      <w:szCs w:val="28"/>
      <w:u w:val="none"/>
    </w:rPr>
  </w:style>
  <w:style w:type="character" w:customStyle="1" w:styleId="13">
    <w:name w:val="font41"/>
    <w:basedOn w:val="8"/>
    <w:qFormat/>
    <w:uiPriority w:val="0"/>
    <w:rPr>
      <w:rFonts w:hint="eastAsia" w:ascii="仿宋_GB2312" w:eastAsia="仿宋_GB2312" w:cs="仿宋_GB2312"/>
      <w:color w:val="000000"/>
      <w:sz w:val="28"/>
      <w:szCs w:val="28"/>
      <w:u w:val="none"/>
    </w:rPr>
  </w:style>
  <w:style w:type="character" w:customStyle="1" w:styleId="14">
    <w:name w:val="font51"/>
    <w:basedOn w:val="8"/>
    <w:qFormat/>
    <w:uiPriority w:val="0"/>
    <w:rPr>
      <w:rFonts w:hint="default" w:ascii="Times New Roman" w:hAnsi="Times New Roman" w:cs="Times New Roman"/>
      <w:color w:val="000000"/>
      <w:sz w:val="28"/>
      <w:szCs w:val="28"/>
      <w:u w:val="none"/>
    </w:rPr>
  </w:style>
  <w:style w:type="character" w:customStyle="1" w:styleId="15">
    <w:name w:val="font61"/>
    <w:basedOn w:val="8"/>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11738</Words>
  <Characters>12097</Characters>
  <Lines>128</Lines>
  <Paragraphs>36</Paragraphs>
  <TotalTime>4</TotalTime>
  <ScaleCrop>false</ScaleCrop>
  <LinksUpToDate>false</LinksUpToDate>
  <CharactersWithSpaces>12278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2021-08-05T08:00:00Z</dcterms:created>
  <dc:creator>fz</dc:creator>
  <cp:lastModifiedBy>小小周</cp:lastModifiedBy>
  <cp:lastPrinted>2023-02-16T03:47:00Z</cp:lastPrinted>
  <dcterms:modified xsi:type="dcterms:W3CDTF">2023-02-17T09:49:04Z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247350957BE94E16BFE0B28E571DF046</vt:lpwstr>
  </property>
  <property fmtid="{D5CDD505-2E9C-101B-9397-08002B2CF9AE}" pid="4" name="KSOSaveFontToCloudKey">
    <vt:lpwstr>339179225_embed</vt:lpwstr>
  </property>
</Properties>
</file>